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24D9" w:rsidRPr="003624D9" w:rsidRDefault="003624D9" w:rsidP="003624D9">
      <w:pPr>
        <w:keepNext/>
        <w:spacing w:after="60" w:line="240" w:lineRule="auto"/>
        <w:jc w:val="both"/>
        <w:outlineLvl w:val="2"/>
        <w:rPr>
          <w:rFonts w:ascii="Calibri" w:eastAsia="Times New Roman" w:hAnsi="Calibri" w:cs="Times New Roman"/>
          <w:b/>
          <w:iCs/>
          <w:sz w:val="24"/>
          <w:szCs w:val="20"/>
          <w:lang w:eastAsia="cs-CZ"/>
        </w:rPr>
      </w:pPr>
      <w:bookmarkStart w:id="0" w:name="_Toc494817045"/>
      <w:r w:rsidRPr="003624D9">
        <w:rPr>
          <w:rFonts w:ascii="Calibri" w:eastAsia="Times New Roman" w:hAnsi="Calibri" w:cs="Times New Roman"/>
          <w:b/>
          <w:iCs/>
          <w:sz w:val="24"/>
          <w:szCs w:val="20"/>
          <w:lang w:eastAsia="cs-CZ"/>
        </w:rPr>
        <w:t>3.6.1 Programový rámec IROP</w:t>
      </w:r>
      <w:bookmarkEnd w:id="0"/>
    </w:p>
    <w:p w:rsidR="003624D9" w:rsidRPr="003624D9" w:rsidRDefault="003624D9" w:rsidP="003624D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3624D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Programový rámec IROP vychází z předpokládané alokace 79 232 186 Kč a je tvořen </w:t>
      </w:r>
      <w:r w:rsidRPr="00682883">
        <w:rPr>
          <w:rFonts w:ascii="Calibri" w:eastAsia="Times New Roman" w:hAnsi="Calibri" w:cs="Times New Roman"/>
          <w:sz w:val="24"/>
          <w:szCs w:val="24"/>
          <w:lang w:eastAsia="cs-CZ"/>
        </w:rPr>
        <w:t>10</w:t>
      </w:r>
      <w:r w:rsidRPr="003624D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opatřeními. Výběr indikátorů a výchozí a cílové hodnoty byly stanoveny odborným odhadem vycházejícím z parametrů plánovaných aktivit, srovnáním se stanovenými cílovými hodnotami v příslušných specifických cílech IROP.</w:t>
      </w: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140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2124"/>
      </w:tblGrid>
      <w:tr w:rsidR="003624D9" w:rsidRPr="003624D9" w:rsidTr="003624D9">
        <w:trPr>
          <w:trHeight w:val="415"/>
        </w:trPr>
        <w:tc>
          <w:tcPr>
            <w:tcW w:w="1939" w:type="dxa"/>
            <w:shd w:val="clear" w:color="auto" w:fill="D6E3BC"/>
            <w:vAlign w:val="center"/>
          </w:tcPr>
          <w:p w:rsidR="003624D9" w:rsidRPr="003624D9" w:rsidRDefault="003624D9" w:rsidP="003624D9">
            <w:pPr>
              <w:spacing w:after="0" w:line="240" w:lineRule="auto"/>
              <w:ind w:right="454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Specifický cíl SCLLD</w:t>
            </w:r>
          </w:p>
        </w:tc>
        <w:tc>
          <w:tcPr>
            <w:tcW w:w="12124" w:type="dxa"/>
            <w:shd w:val="clear" w:color="auto" w:fill="D6E3BC"/>
            <w:vAlign w:val="center"/>
          </w:tcPr>
          <w:p w:rsidR="003624D9" w:rsidRPr="003624D9" w:rsidRDefault="003624D9" w:rsidP="003624D9">
            <w:pPr>
              <w:keepNext/>
              <w:spacing w:after="40" w:line="240" w:lineRule="auto"/>
              <w:ind w:right="454"/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>4.3 Zkvalitnit veřejnou hromadnou dopravu</w:t>
            </w:r>
          </w:p>
          <w:p w:rsidR="003624D9" w:rsidRPr="003624D9" w:rsidRDefault="003624D9" w:rsidP="003624D9">
            <w:pPr>
              <w:keepNext/>
              <w:spacing w:after="40" w:line="240" w:lineRule="auto"/>
              <w:ind w:right="454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i/>
                <w:szCs w:val="24"/>
              </w:rPr>
              <w:t>(Opatření SCLLD 4.3.1 Zlepšení infrastruktury pro cestování veřejnou hromadnou dopravou)</w:t>
            </w:r>
          </w:p>
        </w:tc>
      </w:tr>
      <w:tr w:rsidR="003624D9" w:rsidRPr="003624D9" w:rsidTr="003624D9">
        <w:trPr>
          <w:trHeight w:val="415"/>
        </w:trPr>
        <w:tc>
          <w:tcPr>
            <w:tcW w:w="1939" w:type="dxa"/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ind w:right="454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Název opatření</w:t>
            </w:r>
          </w:p>
        </w:tc>
        <w:tc>
          <w:tcPr>
            <w:tcW w:w="12124" w:type="dxa"/>
            <w:shd w:val="clear" w:color="auto" w:fill="auto"/>
            <w:vAlign w:val="center"/>
          </w:tcPr>
          <w:p w:rsidR="003624D9" w:rsidRPr="003624D9" w:rsidRDefault="003624D9" w:rsidP="003624D9">
            <w:pPr>
              <w:keepNext/>
              <w:spacing w:after="40" w:line="240" w:lineRule="auto"/>
              <w:ind w:right="454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 xml:space="preserve">IROP 1 Veřejná doprava </w:t>
            </w:r>
          </w:p>
        </w:tc>
      </w:tr>
      <w:tr w:rsidR="003624D9" w:rsidRPr="003624D9" w:rsidTr="003624D9">
        <w:trPr>
          <w:trHeight w:val="415"/>
        </w:trPr>
        <w:tc>
          <w:tcPr>
            <w:tcW w:w="1939" w:type="dxa"/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ind w:right="454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Vazba na specifický cíl IROP</w:t>
            </w:r>
          </w:p>
        </w:tc>
        <w:tc>
          <w:tcPr>
            <w:tcW w:w="12124" w:type="dxa"/>
            <w:shd w:val="clear" w:color="auto" w:fill="auto"/>
            <w:vAlign w:val="center"/>
          </w:tcPr>
          <w:p w:rsidR="003624D9" w:rsidRPr="003624D9" w:rsidRDefault="003624D9" w:rsidP="003624D9">
            <w:pPr>
              <w:keepNext/>
              <w:spacing w:after="40" w:line="240" w:lineRule="auto"/>
              <w:ind w:right="454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1.2</w:t>
            </w:r>
            <w:r w:rsidRPr="003624D9">
              <w:rPr>
                <w:rFonts w:ascii="Calibri" w:eastAsia="Calibri" w:hAnsi="Calibri" w:cs="Times New Roman"/>
                <w:b/>
                <w:szCs w:val="24"/>
              </w:rPr>
              <w:t xml:space="preserve"> </w:t>
            </w:r>
            <w:r w:rsidRPr="003624D9">
              <w:rPr>
                <w:rFonts w:ascii="Calibri" w:eastAsia="Calibri" w:hAnsi="Calibri" w:cs="Times New Roman"/>
                <w:szCs w:val="24"/>
              </w:rPr>
              <w:t>Zvýšení podílu udržitelných forem dopravy, 4.1 Posílení komunitně vedeného místního rozvoje za účelem zvýšení kvality ve venkovských oblastech a aktivizace místního potenciálu</w:t>
            </w:r>
          </w:p>
        </w:tc>
      </w:tr>
      <w:tr w:rsidR="003624D9" w:rsidRPr="003624D9" w:rsidTr="003624D9">
        <w:trPr>
          <w:trHeight w:val="415"/>
        </w:trPr>
        <w:tc>
          <w:tcPr>
            <w:tcW w:w="1939" w:type="dxa"/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ind w:right="454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Typy projektů</w:t>
            </w:r>
          </w:p>
        </w:tc>
        <w:tc>
          <w:tcPr>
            <w:tcW w:w="12124" w:type="dxa"/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120" w:line="240" w:lineRule="auto"/>
              <w:ind w:right="179"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 xml:space="preserve">Popis opatření: 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Klíčovým problémem území MAS Slavkovské bojiště je zvýšená hustota osobní dopravy především do zaměstnání do krajského města Brna</w:t>
            </w: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 xml:space="preserve">. 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Tento stav klade vysoké nároky na rozvoj dopravní infrastruktury, zhoršuje stav životního prostředí a bezpečnost v obcích. Řešení této situace lze spatřovat ještě v lepší dostupnosti integrovaného dopravního systému Jihomoravského kraje využitím kombinované dopravy (např. kolo/auto/veřejná doprava, B+R, P+R apod.). Opatření úzce navazuje na další specifický cíl 4.4: Zlepšit podmínky pro nemotorovou dopravu. </w:t>
            </w:r>
          </w:p>
          <w:p w:rsidR="003624D9" w:rsidRPr="003624D9" w:rsidRDefault="003624D9" w:rsidP="003624D9">
            <w:pPr>
              <w:spacing w:after="120" w:line="240" w:lineRule="auto"/>
              <w:ind w:right="179"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>Cílem opatření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 je výstavba přestupních terminálů ve spádových obcích.</w:t>
            </w:r>
          </w:p>
          <w:p w:rsidR="003624D9" w:rsidRPr="003624D9" w:rsidRDefault="003624D9" w:rsidP="003624D9">
            <w:pPr>
              <w:spacing w:after="120" w:line="240" w:lineRule="auto"/>
              <w:ind w:left="34" w:right="179"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>Podporované aktivity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:</w:t>
            </w:r>
          </w:p>
          <w:p w:rsidR="003624D9" w:rsidRPr="003624D9" w:rsidRDefault="003624D9" w:rsidP="003624D9">
            <w:pPr>
              <w:numPr>
                <w:ilvl w:val="0"/>
                <w:numId w:val="9"/>
              </w:numPr>
              <w:spacing w:after="120" w:line="240" w:lineRule="auto"/>
              <w:ind w:right="179"/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Výstavba a modernizace přestupních terminálů, souvisejících záchytných parkovišť a parkovacích domů v přímé návaznosti na veřejnou hromadnou dopravu (VHD) - systém P+R (parkoviště pro osobní vozy s možností přestupu na VHD), K+R (forma kombinované přepravy s návazností individuální automobilové dopravy na VHD), zázemí pro VHD, výstavba návazných systémů B+R (prostor pro bezpečné uschování kola s možností přestupu na VHD). </w:t>
            </w:r>
          </w:p>
          <w:p w:rsidR="003624D9" w:rsidRPr="003624D9" w:rsidRDefault="003624D9" w:rsidP="003624D9">
            <w:pPr>
              <w:numPr>
                <w:ilvl w:val="0"/>
                <w:numId w:val="5"/>
              </w:numPr>
              <w:spacing w:after="120" w:line="240" w:lineRule="auto"/>
              <w:ind w:right="179"/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i/>
                <w:szCs w:val="24"/>
                <w:lang w:eastAsia="cs-CZ"/>
              </w:rPr>
              <w:t>Součástí projektu může být doplňkově zeleň v okolí přestupních terminálů, budov a na budovách.</w:t>
            </w:r>
          </w:p>
        </w:tc>
      </w:tr>
      <w:tr w:rsidR="003624D9" w:rsidRPr="003624D9" w:rsidTr="003624D9">
        <w:trPr>
          <w:trHeight w:val="415"/>
        </w:trPr>
        <w:tc>
          <w:tcPr>
            <w:tcW w:w="1939" w:type="dxa"/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ind w:right="454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Definice příjemce dotace</w:t>
            </w:r>
          </w:p>
        </w:tc>
        <w:tc>
          <w:tcPr>
            <w:tcW w:w="12124" w:type="dxa"/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ind w:right="454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 xml:space="preserve">obce; dobrovolné svazky obcí; organizace zřizované nebo zakládané kraji; organizace zřizované nebo zakládané obcemi; organizace zřizované nebo zakládané dobrovolnými svazky obcí; provozovatelé dráhy nebo drážní dopravy podle zákona č. 266/1994 Sb., o drahách; dopravci ve veřejné linkové dopravě podle zákona č. 111/1994 Sb., o silniční dopravě; subjekty zajišťující dopravní obslužnost, uvedené v § 8 odst. 1 zákona č. 194/2010 Sb., o veřejných službách v přepravě cestujících a o změně dalších zákonů, tedy stát, kraje a obce, pokud poskytují veřejné služby v přepravě cestujících samy, a dopravci, kteří jsou </w:t>
            </w:r>
            <w:r w:rsidRPr="003624D9">
              <w:rPr>
                <w:rFonts w:ascii="Calibri" w:eastAsia="Calibri" w:hAnsi="Calibri" w:cs="Times New Roman"/>
                <w:szCs w:val="24"/>
              </w:rPr>
              <w:lastRenderedPageBreak/>
              <w:t>provozovateli veřejné linkové dopravy podle zákona č. 111/1994 Sb., o silniční dopravě, na základě smlouvy o veřejných službách v přepravě cestujících.</w:t>
            </w:r>
          </w:p>
        </w:tc>
      </w:tr>
      <w:tr w:rsidR="003624D9" w:rsidRPr="003624D9" w:rsidTr="003624D9">
        <w:trPr>
          <w:trHeight w:val="415"/>
        </w:trPr>
        <w:tc>
          <w:tcPr>
            <w:tcW w:w="1939" w:type="dxa"/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ind w:right="454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lastRenderedPageBreak/>
              <w:t>Min. a max. výše podpory</w:t>
            </w:r>
          </w:p>
        </w:tc>
        <w:tc>
          <w:tcPr>
            <w:tcW w:w="12124" w:type="dxa"/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ind w:right="454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MAS předpokládá stanovení limitů a bude o nich informovat v konkrétní výzvě.</w:t>
            </w:r>
          </w:p>
        </w:tc>
      </w:tr>
      <w:tr w:rsidR="003624D9" w:rsidRPr="003624D9" w:rsidTr="003624D9">
        <w:trPr>
          <w:trHeight w:val="415"/>
        </w:trPr>
        <w:tc>
          <w:tcPr>
            <w:tcW w:w="1939" w:type="dxa"/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ind w:right="454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Principy preferenčních kritérií</w:t>
            </w:r>
          </w:p>
        </w:tc>
        <w:tc>
          <w:tcPr>
            <w:tcW w:w="12124" w:type="dxa"/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ind w:right="454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Preferenční kritéria budou stanovena v konkrétní výzvě MAS.</w:t>
            </w:r>
          </w:p>
        </w:tc>
      </w:tr>
    </w:tbl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3624D9">
        <w:rPr>
          <w:rFonts w:ascii="Calibri" w:eastAsia="Calibri" w:hAnsi="Calibri" w:cs="Times New Roman"/>
          <w:b/>
        </w:rPr>
        <w:t xml:space="preserve">Indikátory </w:t>
      </w:r>
    </w:p>
    <w:p w:rsid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tbl>
      <w:tblPr>
        <w:tblW w:w="138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901"/>
      </w:tblGrid>
      <w:tr w:rsidR="003624D9" w:rsidRPr="003624D9" w:rsidTr="00020A80">
        <w:trPr>
          <w:trHeight w:val="335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24D9" w:rsidRPr="003624D9" w:rsidRDefault="003624D9" w:rsidP="003624D9">
            <w:pPr>
              <w:spacing w:after="0" w:line="276" w:lineRule="auto"/>
              <w:ind w:left="148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624D9">
              <w:rPr>
                <w:rFonts w:ascii="Calibri" w:eastAsia="Times New Roman" w:hAnsi="Calibri" w:cs="Arial"/>
                <w:lang w:eastAsia="cs-CZ"/>
              </w:rPr>
              <w:t>ID</w:t>
            </w: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624D9">
              <w:rPr>
                <w:rFonts w:ascii="Calibri" w:eastAsia="Times New Roman" w:hAnsi="Calibri" w:cs="Arial"/>
                <w:lang w:eastAsia="cs-CZ"/>
              </w:rPr>
              <w:t>Ukazatel</w:t>
            </w:r>
          </w:p>
        </w:tc>
      </w:tr>
      <w:tr w:rsidR="003624D9" w:rsidRPr="003624D9" w:rsidTr="00020A8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Arial"/>
                <w:color w:val="7030A0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lang w:eastAsia="cs-CZ"/>
              </w:rPr>
              <w:t>7 52 01</w:t>
            </w: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lang w:eastAsia="cs-CZ"/>
              </w:rPr>
              <w:t>Počet nových nebo rekonstruovaných přestupních terminálů ve veřejné dopravě</w:t>
            </w:r>
          </w:p>
        </w:tc>
      </w:tr>
      <w:tr w:rsidR="003624D9" w:rsidRPr="003624D9" w:rsidTr="00020A8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lang w:eastAsia="cs-CZ"/>
              </w:rPr>
              <w:t>7 64 01</w:t>
            </w: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lang w:eastAsia="cs-CZ"/>
              </w:rPr>
              <w:t>Počet parkovacích míst pro jízdní kola</w:t>
            </w:r>
          </w:p>
        </w:tc>
      </w:tr>
      <w:tr w:rsidR="003624D9" w:rsidRPr="003624D9" w:rsidTr="00020A8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lang w:eastAsia="cs-CZ"/>
              </w:rPr>
              <w:t>7 40 01</w:t>
            </w: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lang w:eastAsia="cs-CZ"/>
              </w:rPr>
              <w:t>Počet vytvořených parkovacích míst</w:t>
            </w:r>
          </w:p>
        </w:tc>
      </w:tr>
      <w:tr w:rsidR="003624D9" w:rsidRPr="003624D9" w:rsidTr="00020A80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lang w:eastAsia="cs-CZ"/>
              </w:rPr>
              <w:t>7 51 20</w:t>
            </w: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lang w:eastAsia="cs-CZ"/>
              </w:rPr>
              <w:t>Podíl veřejné osobní dopravy na celkových výkonech v osobní dopravě</w:t>
            </w:r>
          </w:p>
        </w:tc>
      </w:tr>
    </w:tbl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140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0944"/>
      </w:tblGrid>
      <w:tr w:rsidR="003624D9" w:rsidRPr="003624D9" w:rsidTr="00020A80">
        <w:trPr>
          <w:trHeight w:val="415"/>
        </w:trPr>
        <w:tc>
          <w:tcPr>
            <w:tcW w:w="3119" w:type="dxa"/>
            <w:shd w:val="clear" w:color="auto" w:fill="D6E3BC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Specifický cíl SCLLD</w:t>
            </w:r>
          </w:p>
        </w:tc>
        <w:tc>
          <w:tcPr>
            <w:tcW w:w="10944" w:type="dxa"/>
            <w:shd w:val="clear" w:color="auto" w:fill="D6E3BC"/>
            <w:vAlign w:val="center"/>
          </w:tcPr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 xml:space="preserve"> 4.4 Zlepšit podmínky pro nemotorovou dopravu</w:t>
            </w:r>
          </w:p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(</w:t>
            </w:r>
            <w:r w:rsidRPr="003624D9">
              <w:rPr>
                <w:rFonts w:ascii="Calibri" w:eastAsia="Calibri" w:hAnsi="Calibri" w:cs="Times New Roman"/>
                <w:i/>
                <w:szCs w:val="24"/>
              </w:rPr>
              <w:t>Opatření SCLLD 4.4.1 Výstavba cyklostezek pro dopravu obyvatel do zaměstnání, škol a službami)</w:t>
            </w:r>
          </w:p>
        </w:tc>
      </w:tr>
      <w:tr w:rsidR="003624D9" w:rsidRPr="003624D9" w:rsidTr="00020A80">
        <w:trPr>
          <w:trHeight w:val="415"/>
        </w:trPr>
        <w:tc>
          <w:tcPr>
            <w:tcW w:w="3119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Název opatření</w:t>
            </w:r>
          </w:p>
        </w:tc>
        <w:tc>
          <w:tcPr>
            <w:tcW w:w="10944" w:type="dxa"/>
            <w:vAlign w:val="center"/>
          </w:tcPr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 xml:space="preserve">IROP 2 Cyklostezky </w:t>
            </w:r>
          </w:p>
        </w:tc>
      </w:tr>
      <w:tr w:rsidR="003624D9" w:rsidRPr="003624D9" w:rsidTr="00020A80">
        <w:trPr>
          <w:trHeight w:val="415"/>
        </w:trPr>
        <w:tc>
          <w:tcPr>
            <w:tcW w:w="3119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Vazba na specifický cíl IROP</w:t>
            </w:r>
          </w:p>
        </w:tc>
        <w:tc>
          <w:tcPr>
            <w:tcW w:w="10944" w:type="dxa"/>
            <w:vAlign w:val="center"/>
          </w:tcPr>
          <w:p w:rsidR="003624D9" w:rsidRPr="003624D9" w:rsidRDefault="003624D9" w:rsidP="003624D9">
            <w:pPr>
              <w:spacing w:after="4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1.2</w:t>
            </w:r>
            <w:r w:rsidRPr="003624D9">
              <w:rPr>
                <w:rFonts w:ascii="Calibri" w:eastAsia="Calibri" w:hAnsi="Calibri" w:cs="Times New Roman"/>
                <w:b/>
                <w:szCs w:val="24"/>
              </w:rPr>
              <w:t xml:space="preserve"> </w:t>
            </w:r>
            <w:r w:rsidRPr="003624D9">
              <w:rPr>
                <w:rFonts w:ascii="Calibri" w:eastAsia="Calibri" w:hAnsi="Calibri" w:cs="Times New Roman"/>
                <w:szCs w:val="24"/>
              </w:rPr>
              <w:t>Zvýšení podílu udržitelných forem dopravy, 4.1 Posílení komunitně vedeného místního rozvoje za účelem zvýšení kvality ve venkovských oblastech a aktivizace místního potenciálu</w:t>
            </w:r>
          </w:p>
        </w:tc>
      </w:tr>
      <w:tr w:rsidR="003624D9" w:rsidRPr="003624D9" w:rsidTr="00020A80">
        <w:trPr>
          <w:trHeight w:val="415"/>
        </w:trPr>
        <w:tc>
          <w:tcPr>
            <w:tcW w:w="3119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Typy projektů</w:t>
            </w:r>
          </w:p>
        </w:tc>
        <w:tc>
          <w:tcPr>
            <w:tcW w:w="10944" w:type="dxa"/>
            <w:vAlign w:val="center"/>
          </w:tcPr>
          <w:p w:rsidR="003624D9" w:rsidRPr="003624D9" w:rsidRDefault="003624D9" w:rsidP="003624D9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Popis opatření</w:t>
            </w: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 xml:space="preserve">: 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Díky zvýšené migraci a osidlování příměstské krajiny MAS Slavkovské bojiště dlouhodobě roste intenzita individuální automobilové přepravy. Tento stav klade vysoké nároky na rozvoj dopravní infrastruktury, zhoršuje stav životního prostředí a bezpečnost v obcích. </w:t>
            </w:r>
          </w:p>
          <w:p w:rsidR="003624D9" w:rsidRPr="003624D9" w:rsidRDefault="003624D9" w:rsidP="003624D9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Řešení této situace lze spatřovat v rozvoji alternativních forem dopravy či pohonu, zejména </w:t>
            </w:r>
            <w:proofErr w:type="spellStart"/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cyklodopravy</w:t>
            </w:r>
            <w:proofErr w:type="spellEnd"/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, ve sdílení dopravních prostředků a ve vytváření podmínek pro využívání hromadné a kombinované dopravy (např. 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lastRenderedPageBreak/>
              <w:t>kolo/auto/veřejná doprava, B+R, P+R apod.) Opatření úzce navazuje na další specifické cíle 4.2: Zlepšit stav silniční infrastruktury a 4.3: Zkvalitnit veřejnou hromadnou dopravu.</w:t>
            </w:r>
          </w:p>
          <w:p w:rsidR="003624D9" w:rsidRPr="003624D9" w:rsidRDefault="003624D9" w:rsidP="003624D9">
            <w:pPr>
              <w:tabs>
                <w:tab w:val="left" w:pos="6199"/>
              </w:tabs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>Cílem opatření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 je výstavba cyklostezek, které zlepší dostupnost obyvatel do zaměstnání, škol a za službami. </w:t>
            </w:r>
          </w:p>
          <w:p w:rsidR="003624D9" w:rsidRPr="003624D9" w:rsidRDefault="003624D9" w:rsidP="003624D9">
            <w:pPr>
              <w:tabs>
                <w:tab w:val="left" w:pos="6199"/>
              </w:tabs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>Podporované aktivity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:</w:t>
            </w:r>
          </w:p>
          <w:p w:rsidR="003624D9" w:rsidRPr="003624D9" w:rsidRDefault="003624D9" w:rsidP="003624D9">
            <w:pPr>
              <w:numPr>
                <w:ilvl w:val="0"/>
                <w:numId w:val="7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budování cyklostezek a cyklotras pro dopravu obyvatel do zaměstnání, za službami a do škol;</w:t>
            </w:r>
          </w:p>
          <w:p w:rsidR="003624D9" w:rsidRPr="003624D9" w:rsidRDefault="003624D9" w:rsidP="003624D9">
            <w:pPr>
              <w:numPr>
                <w:ilvl w:val="0"/>
                <w:numId w:val="7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výsadba zeleně kolem cyklostezek.</w:t>
            </w:r>
          </w:p>
        </w:tc>
      </w:tr>
      <w:tr w:rsidR="003624D9" w:rsidRPr="003624D9" w:rsidTr="00020A80">
        <w:trPr>
          <w:trHeight w:val="415"/>
        </w:trPr>
        <w:tc>
          <w:tcPr>
            <w:tcW w:w="3119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lastRenderedPageBreak/>
              <w:t>Definice příjemce dotace</w:t>
            </w:r>
          </w:p>
        </w:tc>
        <w:tc>
          <w:tcPr>
            <w:tcW w:w="10944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 xml:space="preserve">obce; dobrovolné svazky obcí; organizace zřizované nebo zakládané kraji; organizace zřizované nebo zakládané obcemi; organizace zřizované nebo zakládané dobrovolnými svazky obcí. </w:t>
            </w:r>
          </w:p>
        </w:tc>
      </w:tr>
      <w:tr w:rsidR="003624D9" w:rsidRPr="003624D9" w:rsidTr="00020A80">
        <w:trPr>
          <w:trHeight w:val="415"/>
        </w:trPr>
        <w:tc>
          <w:tcPr>
            <w:tcW w:w="3119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Min. a max. výše podpory</w:t>
            </w:r>
          </w:p>
        </w:tc>
        <w:tc>
          <w:tcPr>
            <w:tcW w:w="10944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MAS předpokládá stanovení limitů a bude o nich informovat v konkrétní výzvě.</w:t>
            </w:r>
          </w:p>
        </w:tc>
      </w:tr>
      <w:tr w:rsidR="003624D9" w:rsidRPr="003624D9" w:rsidTr="00020A80">
        <w:trPr>
          <w:trHeight w:val="415"/>
        </w:trPr>
        <w:tc>
          <w:tcPr>
            <w:tcW w:w="3119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Principy preferenčních kritérií</w:t>
            </w:r>
          </w:p>
        </w:tc>
        <w:tc>
          <w:tcPr>
            <w:tcW w:w="10944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Preferenční kritéria budou stanovena v konkrétní výzvě MAS.</w:t>
            </w:r>
          </w:p>
        </w:tc>
      </w:tr>
    </w:tbl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3624D9">
        <w:rPr>
          <w:rFonts w:ascii="Calibri" w:eastAsia="Calibri" w:hAnsi="Calibri" w:cs="Times New Roman"/>
          <w:b/>
        </w:rPr>
        <w:t xml:space="preserve">Indikátory </w:t>
      </w:r>
    </w:p>
    <w:tbl>
      <w:tblPr>
        <w:tblW w:w="141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6"/>
        <w:gridCol w:w="10965"/>
      </w:tblGrid>
      <w:tr w:rsidR="003624D9" w:rsidRPr="003624D9" w:rsidTr="00020A80">
        <w:trPr>
          <w:trHeight w:val="335"/>
          <w:tblHeader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624D9">
              <w:rPr>
                <w:rFonts w:ascii="Calibri" w:eastAsia="Times New Roman" w:hAnsi="Calibri" w:cs="Arial"/>
                <w:lang w:eastAsia="cs-CZ"/>
              </w:rPr>
              <w:t>ID</w:t>
            </w:r>
          </w:p>
        </w:tc>
        <w:tc>
          <w:tcPr>
            <w:tcW w:w="10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624D9">
              <w:rPr>
                <w:rFonts w:ascii="Calibri" w:eastAsia="Times New Roman" w:hAnsi="Calibri" w:cs="Arial"/>
                <w:lang w:eastAsia="cs-CZ"/>
              </w:rPr>
              <w:t>Ukazatel</w:t>
            </w:r>
          </w:p>
        </w:tc>
      </w:tr>
      <w:tr w:rsidR="003624D9" w:rsidRPr="003624D9" w:rsidTr="00020A80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Arial"/>
                <w:color w:val="7030A0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lang w:eastAsia="cs-CZ"/>
              </w:rPr>
              <w:t>7 61 00</w:t>
            </w:r>
          </w:p>
        </w:tc>
        <w:tc>
          <w:tcPr>
            <w:tcW w:w="10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624D9">
              <w:rPr>
                <w:rFonts w:ascii="Calibri" w:eastAsia="Times New Roman" w:hAnsi="Calibri" w:cs="Arial"/>
                <w:lang w:eastAsia="cs-CZ"/>
              </w:rPr>
              <w:t>Délka nově vybudovaných cyklostezek a cyklotras</w:t>
            </w:r>
          </w:p>
        </w:tc>
      </w:tr>
      <w:tr w:rsidR="003624D9" w:rsidRPr="003624D9" w:rsidTr="00020A80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7 63 10</w:t>
            </w:r>
          </w:p>
        </w:tc>
        <w:tc>
          <w:tcPr>
            <w:tcW w:w="10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lang w:eastAsia="cs-CZ"/>
              </w:rPr>
              <w:t>Podíl cyklistiky na přepravních výkonech</w:t>
            </w:r>
          </w:p>
        </w:tc>
      </w:tr>
    </w:tbl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1057"/>
      </w:tblGrid>
      <w:tr w:rsidR="003624D9" w:rsidRPr="003624D9" w:rsidTr="00020A80">
        <w:trPr>
          <w:trHeight w:val="415"/>
        </w:trPr>
        <w:tc>
          <w:tcPr>
            <w:tcW w:w="3119" w:type="dxa"/>
            <w:shd w:val="clear" w:color="auto" w:fill="D6E3BC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Specifický cíl SCLLD</w:t>
            </w:r>
          </w:p>
        </w:tc>
        <w:tc>
          <w:tcPr>
            <w:tcW w:w="11057" w:type="dxa"/>
            <w:shd w:val="clear" w:color="auto" w:fill="D6E3BC"/>
            <w:vAlign w:val="center"/>
          </w:tcPr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 xml:space="preserve"> 4.5 Zvýšit bezpečnost v obcích</w:t>
            </w:r>
          </w:p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(</w:t>
            </w:r>
            <w:r w:rsidRPr="003624D9">
              <w:rPr>
                <w:rFonts w:ascii="Calibri" w:eastAsia="Calibri" w:hAnsi="Calibri" w:cs="Times New Roman"/>
                <w:i/>
                <w:szCs w:val="24"/>
              </w:rPr>
              <w:t>Opatření SCLLD 4.5.1 Řešení dopravní bezpečnosti)</w:t>
            </w:r>
          </w:p>
        </w:tc>
      </w:tr>
      <w:tr w:rsidR="003624D9" w:rsidRPr="003624D9" w:rsidTr="00020A80">
        <w:trPr>
          <w:trHeight w:val="415"/>
        </w:trPr>
        <w:tc>
          <w:tcPr>
            <w:tcW w:w="3119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Název opatření</w:t>
            </w:r>
          </w:p>
        </w:tc>
        <w:tc>
          <w:tcPr>
            <w:tcW w:w="11057" w:type="dxa"/>
            <w:vAlign w:val="center"/>
          </w:tcPr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 xml:space="preserve">IROP 3 Dopravní bezpečnost </w:t>
            </w:r>
          </w:p>
        </w:tc>
      </w:tr>
      <w:tr w:rsidR="003624D9" w:rsidRPr="003624D9" w:rsidTr="00020A80">
        <w:trPr>
          <w:trHeight w:val="415"/>
        </w:trPr>
        <w:tc>
          <w:tcPr>
            <w:tcW w:w="3119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Vazba na specifický cíl IROP</w:t>
            </w:r>
          </w:p>
        </w:tc>
        <w:tc>
          <w:tcPr>
            <w:tcW w:w="11057" w:type="dxa"/>
            <w:vAlign w:val="center"/>
          </w:tcPr>
          <w:p w:rsidR="003624D9" w:rsidRPr="003624D9" w:rsidRDefault="003624D9" w:rsidP="003624D9">
            <w:pPr>
              <w:spacing w:after="4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1.2</w:t>
            </w:r>
            <w:r w:rsidRPr="003624D9">
              <w:rPr>
                <w:rFonts w:ascii="Calibri" w:eastAsia="Calibri" w:hAnsi="Calibri" w:cs="Times New Roman"/>
                <w:b/>
                <w:szCs w:val="24"/>
              </w:rPr>
              <w:t xml:space="preserve"> </w:t>
            </w:r>
            <w:r w:rsidRPr="003624D9">
              <w:rPr>
                <w:rFonts w:ascii="Calibri" w:eastAsia="Calibri" w:hAnsi="Calibri" w:cs="Times New Roman"/>
                <w:szCs w:val="24"/>
              </w:rPr>
              <w:t>Zvýšení podílu udržitelných forem dopravy, 4.1 Posílení komunitně vedeného místního rozvoje za účelem zvýšení kvality ve venkovských oblastech a aktivizace místního potenciálu</w:t>
            </w:r>
          </w:p>
        </w:tc>
      </w:tr>
      <w:tr w:rsidR="003624D9" w:rsidRPr="003624D9" w:rsidTr="00020A80">
        <w:trPr>
          <w:trHeight w:val="415"/>
        </w:trPr>
        <w:tc>
          <w:tcPr>
            <w:tcW w:w="3119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lastRenderedPageBreak/>
              <w:t>Typy projektů</w:t>
            </w:r>
          </w:p>
        </w:tc>
        <w:tc>
          <w:tcPr>
            <w:tcW w:w="11057" w:type="dxa"/>
            <w:vAlign w:val="center"/>
          </w:tcPr>
          <w:p w:rsidR="003624D9" w:rsidRPr="003624D9" w:rsidRDefault="003624D9" w:rsidP="003624D9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Popis opatření</w:t>
            </w: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 xml:space="preserve">: 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Rostoucí intenzita silniční dopravy zvyšuje riziko dopravní nehodovosti, zejména v dopravou silně zatížených lokalitách. Podporována budou opatření na minimalizaci rizika střetů mezi motorovými vozidly, cyklisty a pěšími.</w:t>
            </w:r>
          </w:p>
          <w:p w:rsidR="003624D9" w:rsidRPr="003624D9" w:rsidRDefault="003624D9" w:rsidP="003624D9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>Cílem opatření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 je zvýšení dopravní bezpečnosti v obcích. </w:t>
            </w:r>
          </w:p>
          <w:p w:rsidR="003624D9" w:rsidRPr="003624D9" w:rsidRDefault="003624D9" w:rsidP="003624D9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>Podporované aktivity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:</w:t>
            </w:r>
          </w:p>
          <w:p w:rsidR="003624D9" w:rsidRPr="003624D9" w:rsidRDefault="003624D9" w:rsidP="003624D9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Rekonstrukce, modernizace a výstavba chodníků podél silnic I., II., a III. třídy a místních komunikací a jejich osvětlení, přizpůsobených osobám s omezenou schopností pohybu a orientace;</w:t>
            </w:r>
          </w:p>
          <w:p w:rsidR="003624D9" w:rsidRPr="003624D9" w:rsidRDefault="003624D9" w:rsidP="003624D9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Výstavba jízdních pruhů pro cyklisty umístěné podél pásu pro chodce v přidruženém prostoru silnic a místních komunikací;</w:t>
            </w:r>
          </w:p>
          <w:p w:rsidR="003624D9" w:rsidRPr="003624D9" w:rsidRDefault="003624D9" w:rsidP="003624D9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přechody pro chodce, zvuková signalizace pro nevidomé, přejezdy pro cyklisty, jejich nasvětlení a ochranné ostrůvky jako součást projektu budování bezbariérové infrastruktury;</w:t>
            </w:r>
          </w:p>
          <w:p w:rsidR="003624D9" w:rsidRPr="003624D9" w:rsidRDefault="003624D9" w:rsidP="003624D9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nástupiště autobusových zastávek včetně bezbariérového propojení nástupišť;</w:t>
            </w:r>
          </w:p>
          <w:p w:rsidR="003624D9" w:rsidRPr="003624D9" w:rsidRDefault="003624D9" w:rsidP="003624D9">
            <w:pPr>
              <w:numPr>
                <w:ilvl w:val="0"/>
                <w:numId w:val="6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i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i/>
                <w:szCs w:val="24"/>
                <w:lang w:eastAsia="cs-CZ"/>
              </w:rPr>
              <w:t xml:space="preserve">jako doplňková </w:t>
            </w:r>
            <w:proofErr w:type="gramStart"/>
            <w:r w:rsidRPr="003624D9">
              <w:rPr>
                <w:rFonts w:ascii="Calibri" w:eastAsia="Times New Roman" w:hAnsi="Calibri" w:cs="Times New Roman"/>
                <w:i/>
                <w:szCs w:val="24"/>
                <w:lang w:eastAsia="cs-CZ"/>
              </w:rPr>
              <w:t>aktivita - svislé</w:t>
            </w:r>
            <w:proofErr w:type="gramEnd"/>
            <w:r w:rsidRPr="003624D9">
              <w:rPr>
                <w:rFonts w:ascii="Calibri" w:eastAsia="Times New Roman" w:hAnsi="Calibri" w:cs="Times New Roman"/>
                <w:i/>
                <w:szCs w:val="24"/>
                <w:lang w:eastAsia="cs-CZ"/>
              </w:rPr>
              <w:t xml:space="preserve"> a vodorovné dopravní značení a zvýrazňující prvky </w:t>
            </w:r>
          </w:p>
        </w:tc>
      </w:tr>
      <w:tr w:rsidR="003624D9" w:rsidRPr="003624D9" w:rsidTr="00020A80">
        <w:trPr>
          <w:trHeight w:val="415"/>
        </w:trPr>
        <w:tc>
          <w:tcPr>
            <w:tcW w:w="3119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Definice příjemce dotace</w:t>
            </w:r>
          </w:p>
        </w:tc>
        <w:tc>
          <w:tcPr>
            <w:tcW w:w="11057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 xml:space="preserve">obce; dobrovolné svazky obcí; organizace zřizované nebo zakládané kraji; organizace zřizované nebo zakládané obcemi; organizace zřizované nebo zakládané dobrovolnými svazky obcí. </w:t>
            </w:r>
          </w:p>
        </w:tc>
      </w:tr>
      <w:tr w:rsidR="003624D9" w:rsidRPr="003624D9" w:rsidTr="00020A80">
        <w:trPr>
          <w:trHeight w:val="415"/>
        </w:trPr>
        <w:tc>
          <w:tcPr>
            <w:tcW w:w="3119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Min. a max. výše podpory</w:t>
            </w:r>
          </w:p>
        </w:tc>
        <w:tc>
          <w:tcPr>
            <w:tcW w:w="11057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MAS předpokládá stanovení limitů a bude o nich informovat v konkrétní výzvě.</w:t>
            </w:r>
          </w:p>
        </w:tc>
      </w:tr>
      <w:tr w:rsidR="003624D9" w:rsidRPr="003624D9" w:rsidTr="00020A80">
        <w:trPr>
          <w:trHeight w:val="415"/>
        </w:trPr>
        <w:tc>
          <w:tcPr>
            <w:tcW w:w="3119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Principy preferenčních kritérií</w:t>
            </w:r>
          </w:p>
        </w:tc>
        <w:tc>
          <w:tcPr>
            <w:tcW w:w="11057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Preferenční kritéria budou stanovena v konkrétní výzvě MAS.</w:t>
            </w:r>
          </w:p>
        </w:tc>
      </w:tr>
    </w:tbl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3624D9">
        <w:rPr>
          <w:rFonts w:ascii="Calibri" w:eastAsia="Calibri" w:hAnsi="Calibri" w:cs="Times New Roman"/>
          <w:b/>
        </w:rPr>
        <w:t>Indikátory</w:t>
      </w:r>
    </w:p>
    <w:tbl>
      <w:tblPr>
        <w:tblW w:w="14176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8"/>
        <w:gridCol w:w="10698"/>
      </w:tblGrid>
      <w:tr w:rsidR="003624D9" w:rsidRPr="003624D9" w:rsidTr="00724AB5">
        <w:trPr>
          <w:trHeight w:val="335"/>
          <w:tblHeader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624D9">
              <w:rPr>
                <w:rFonts w:ascii="Calibri" w:eastAsia="Times New Roman" w:hAnsi="Calibri" w:cs="Arial"/>
                <w:lang w:eastAsia="cs-CZ"/>
              </w:rPr>
              <w:t>ID</w:t>
            </w:r>
          </w:p>
        </w:tc>
        <w:tc>
          <w:tcPr>
            <w:tcW w:w="10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624D9">
              <w:rPr>
                <w:rFonts w:ascii="Calibri" w:eastAsia="Times New Roman" w:hAnsi="Calibri" w:cs="Arial"/>
                <w:lang w:eastAsia="cs-CZ"/>
              </w:rPr>
              <w:t>Ukazatel</w:t>
            </w:r>
          </w:p>
        </w:tc>
      </w:tr>
      <w:tr w:rsidR="003624D9" w:rsidRPr="003624D9" w:rsidTr="00724AB5">
        <w:trPr>
          <w:trHeight w:val="2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624D9">
              <w:rPr>
                <w:rFonts w:ascii="Calibri" w:eastAsia="Times New Roman" w:hAnsi="Calibri" w:cs="Arial"/>
                <w:lang w:eastAsia="cs-CZ"/>
              </w:rPr>
              <w:t>7 50 01</w:t>
            </w:r>
          </w:p>
        </w:tc>
        <w:tc>
          <w:tcPr>
            <w:tcW w:w="10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624D9">
              <w:rPr>
                <w:rFonts w:ascii="Calibri" w:eastAsia="Times New Roman" w:hAnsi="Calibri" w:cs="Arial"/>
                <w:lang w:eastAsia="cs-CZ"/>
              </w:rPr>
              <w:t>Počet realizací vedoucích ke zvýšení bezpečnosti v dopravě</w:t>
            </w:r>
          </w:p>
        </w:tc>
      </w:tr>
      <w:tr w:rsidR="003624D9" w:rsidRPr="003624D9" w:rsidTr="00724AB5">
        <w:trPr>
          <w:trHeight w:val="2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7 51 20</w:t>
            </w:r>
          </w:p>
        </w:tc>
        <w:tc>
          <w:tcPr>
            <w:tcW w:w="10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lang w:eastAsia="cs-CZ"/>
              </w:rPr>
              <w:t>Podíl veřejné osobní dopravy na celkových výkonech v osobní přepravě</w:t>
            </w:r>
          </w:p>
        </w:tc>
      </w:tr>
    </w:tbl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0915"/>
      </w:tblGrid>
      <w:tr w:rsidR="003624D9" w:rsidRPr="003624D9" w:rsidTr="00724AB5">
        <w:trPr>
          <w:trHeight w:val="415"/>
        </w:trPr>
        <w:tc>
          <w:tcPr>
            <w:tcW w:w="3261" w:type="dxa"/>
            <w:shd w:val="clear" w:color="auto" w:fill="D6E3BC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Specifický cíl SCLLD</w:t>
            </w:r>
          </w:p>
        </w:tc>
        <w:tc>
          <w:tcPr>
            <w:tcW w:w="10915" w:type="dxa"/>
            <w:shd w:val="clear" w:color="auto" w:fill="D6E3BC"/>
            <w:vAlign w:val="center"/>
          </w:tcPr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 xml:space="preserve"> 1.2 Zajistit dostatečné kapacity sociálních služeb i kapacity zařízení sociálních služeb (se zohledněním přirozené spádovosti obcí) a vytvořit síť sociálního a startovacího bydlení</w:t>
            </w:r>
          </w:p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(</w:t>
            </w:r>
            <w:r w:rsidRPr="003624D9">
              <w:rPr>
                <w:rFonts w:ascii="Calibri" w:eastAsia="Calibri" w:hAnsi="Calibri" w:cs="Times New Roman"/>
                <w:i/>
                <w:szCs w:val="24"/>
              </w:rPr>
              <w:t xml:space="preserve">Opatření SCLLD 1.2.1 Rozvoj sociálních služeb, </w:t>
            </w:r>
            <w:proofErr w:type="spellStart"/>
            <w:r w:rsidRPr="003624D9">
              <w:rPr>
                <w:rFonts w:ascii="Calibri" w:eastAsia="Calibri" w:hAnsi="Calibri" w:cs="Times New Roman"/>
                <w:i/>
                <w:szCs w:val="24"/>
              </w:rPr>
              <w:t>Podopatření</w:t>
            </w:r>
            <w:proofErr w:type="spellEnd"/>
            <w:r w:rsidRPr="003624D9">
              <w:rPr>
                <w:rFonts w:ascii="Calibri" w:eastAsia="Calibri" w:hAnsi="Calibri" w:cs="Times New Roman"/>
                <w:i/>
                <w:szCs w:val="24"/>
              </w:rPr>
              <w:t xml:space="preserve"> 1.2.</w:t>
            </w:r>
            <w:proofErr w:type="gramStart"/>
            <w:r w:rsidRPr="003624D9">
              <w:rPr>
                <w:rFonts w:ascii="Calibri" w:eastAsia="Calibri" w:hAnsi="Calibri" w:cs="Times New Roman"/>
                <w:i/>
                <w:szCs w:val="24"/>
              </w:rPr>
              <w:t>1a</w:t>
            </w:r>
            <w:proofErr w:type="gramEnd"/>
            <w:r w:rsidRPr="003624D9">
              <w:rPr>
                <w:rFonts w:ascii="Calibri" w:eastAsia="Calibri" w:hAnsi="Calibri" w:cs="Times New Roman"/>
                <w:i/>
                <w:szCs w:val="24"/>
              </w:rPr>
              <w:t>)</w:t>
            </w:r>
          </w:p>
        </w:tc>
      </w:tr>
      <w:tr w:rsidR="003624D9" w:rsidRPr="003624D9" w:rsidTr="00724AB5">
        <w:trPr>
          <w:trHeight w:val="415"/>
        </w:trPr>
        <w:tc>
          <w:tcPr>
            <w:tcW w:w="3261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Název opatření</w:t>
            </w:r>
          </w:p>
        </w:tc>
        <w:tc>
          <w:tcPr>
            <w:tcW w:w="10915" w:type="dxa"/>
            <w:vAlign w:val="center"/>
          </w:tcPr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 IROP 4 Sociální služby </w:t>
            </w:r>
          </w:p>
        </w:tc>
      </w:tr>
      <w:tr w:rsidR="003624D9" w:rsidRPr="003624D9" w:rsidTr="00724AB5">
        <w:trPr>
          <w:trHeight w:val="415"/>
        </w:trPr>
        <w:tc>
          <w:tcPr>
            <w:tcW w:w="3261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Vazba na specifický cíl IROP</w:t>
            </w:r>
          </w:p>
        </w:tc>
        <w:tc>
          <w:tcPr>
            <w:tcW w:w="10915" w:type="dxa"/>
            <w:vAlign w:val="center"/>
          </w:tcPr>
          <w:p w:rsidR="003624D9" w:rsidRPr="003624D9" w:rsidRDefault="003624D9" w:rsidP="003624D9">
            <w:pPr>
              <w:spacing w:after="4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2.1</w:t>
            </w:r>
            <w:r w:rsidRPr="003624D9">
              <w:rPr>
                <w:rFonts w:ascii="Calibri" w:eastAsia="Calibri" w:hAnsi="Calibri" w:cs="Times New Roman"/>
                <w:b/>
                <w:szCs w:val="24"/>
              </w:rPr>
              <w:t xml:space="preserve"> </w:t>
            </w:r>
            <w:r w:rsidRPr="003624D9">
              <w:rPr>
                <w:rFonts w:ascii="Calibri" w:eastAsia="Calibri" w:hAnsi="Calibri" w:cs="Times New Roman"/>
                <w:szCs w:val="24"/>
              </w:rPr>
              <w:t>Zvýšení kvality a dostupnosti služeb vedoucích k sociální inkluzi, 4.1 Posílení komunitně vedeného místního rozvoje za účelem zvýšení kvality ve venkovských oblastech a aktivizace místního potenciálu</w:t>
            </w:r>
          </w:p>
        </w:tc>
      </w:tr>
      <w:tr w:rsidR="003624D9" w:rsidRPr="003624D9" w:rsidTr="00724AB5">
        <w:trPr>
          <w:trHeight w:val="415"/>
        </w:trPr>
        <w:tc>
          <w:tcPr>
            <w:tcW w:w="3261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Typy projektů</w:t>
            </w:r>
          </w:p>
        </w:tc>
        <w:tc>
          <w:tcPr>
            <w:tcW w:w="10915" w:type="dxa"/>
            <w:vAlign w:val="center"/>
          </w:tcPr>
          <w:p w:rsidR="003624D9" w:rsidRPr="003624D9" w:rsidRDefault="003624D9" w:rsidP="00362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ahoma"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Popis opatření</w:t>
            </w: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>: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 Nabídka sociálních služeb je na území nedostatečná; na </w:t>
            </w:r>
            <w:proofErr w:type="spellStart"/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Slavkovsku</w:t>
            </w:r>
            <w:proofErr w:type="spellEnd"/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 není ani jeden dům pro seniory, nedostatečná je kapacita Domova s pečovatelskou službou ve Slavkově a Bučovicích. Pokračující trend stárnutí obyvatelstva bude klást větší požadavky na posílení sítě sociálních a zdravotních služeb. </w:t>
            </w:r>
            <w:r w:rsidRPr="003624D9">
              <w:rPr>
                <w:rFonts w:ascii="Calibri" w:eastAsia="Times New Roman" w:hAnsi="Calibri" w:cs="Tahoma"/>
                <w:szCs w:val="24"/>
              </w:rPr>
              <w:t>Ta současná neodpovídá potřebě prodloužení pobytu v rodině či umisťování klientů v blízkosti rodiny. Nedostatečné jsou ambulantní služby, stejně tak i dostupnost terénních služeb. Zvyšuje se i zájem o doplňkové služby pro domácnost, např. dovoz obědů, odvoz k lékaři, úklid domácnosti.</w:t>
            </w:r>
          </w:p>
          <w:p w:rsidR="003624D9" w:rsidRPr="003624D9" w:rsidRDefault="003624D9" w:rsidP="0036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Cs w:val="24"/>
              </w:rPr>
            </w:pPr>
          </w:p>
          <w:p w:rsidR="003624D9" w:rsidRPr="003624D9" w:rsidRDefault="003624D9" w:rsidP="00362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ahoma"/>
                <w:szCs w:val="24"/>
              </w:rPr>
            </w:pPr>
            <w:r w:rsidRPr="003624D9">
              <w:rPr>
                <w:rFonts w:ascii="Calibri" w:eastAsia="Times New Roman" w:hAnsi="Calibri" w:cs="Tahoma"/>
                <w:b/>
                <w:szCs w:val="24"/>
              </w:rPr>
              <w:t>Cílem opatření</w:t>
            </w:r>
            <w:r w:rsidRPr="003624D9">
              <w:rPr>
                <w:rFonts w:ascii="Calibri" w:eastAsia="Times New Roman" w:hAnsi="Calibri" w:cs="Tahoma"/>
                <w:szCs w:val="24"/>
              </w:rPr>
              <w:t xml:space="preserve"> je doplnit, zkvalitnit a zpřístupnit sociální služby potřebným lidem, tak, aby jim bylo umožněno zůstat v jejich přirozeném prostředí a jejich rodiny nebyly omezeny v zapojení do běžného života a pracovního procesu.</w:t>
            </w:r>
          </w:p>
          <w:p w:rsidR="003624D9" w:rsidRPr="003624D9" w:rsidRDefault="003624D9" w:rsidP="00362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ahoma"/>
                <w:szCs w:val="24"/>
              </w:rPr>
            </w:pPr>
          </w:p>
          <w:p w:rsidR="003624D9" w:rsidRPr="003624D9" w:rsidRDefault="003624D9" w:rsidP="003624D9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>Aktivity k naplnění opatření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:</w:t>
            </w:r>
          </w:p>
          <w:p w:rsidR="003624D9" w:rsidRPr="003624D9" w:rsidRDefault="003624D9" w:rsidP="003624D9">
            <w:pPr>
              <w:numPr>
                <w:ilvl w:val="0"/>
                <w:numId w:val="4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i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stavby, rekonstrukce a úpravy objektu, či zázemí pro poskytování sociální služby, </w:t>
            </w:r>
          </w:p>
          <w:p w:rsidR="003624D9" w:rsidRPr="003624D9" w:rsidRDefault="003624D9" w:rsidP="003624D9">
            <w:pPr>
              <w:numPr>
                <w:ilvl w:val="0"/>
                <w:numId w:val="4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i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nákup pozemků a staveb, </w:t>
            </w:r>
          </w:p>
          <w:p w:rsidR="003624D9" w:rsidRPr="003624D9" w:rsidRDefault="003624D9" w:rsidP="003624D9">
            <w:pPr>
              <w:numPr>
                <w:ilvl w:val="0"/>
                <w:numId w:val="4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i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pořízení vybavení, </w:t>
            </w:r>
          </w:p>
          <w:p w:rsidR="003624D9" w:rsidRPr="003624D9" w:rsidRDefault="003624D9" w:rsidP="003624D9">
            <w:pPr>
              <w:numPr>
                <w:ilvl w:val="0"/>
                <w:numId w:val="4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i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pořízení automobilu pro účely poskytování terénní nebo ambulantní sociální služby,</w:t>
            </w:r>
          </w:p>
          <w:p w:rsidR="003624D9" w:rsidRPr="003624D9" w:rsidRDefault="003624D9" w:rsidP="003624D9">
            <w:pPr>
              <w:numPr>
                <w:ilvl w:val="0"/>
                <w:numId w:val="4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i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Cs/>
                <w:i/>
                <w:szCs w:val="24"/>
                <w:lang w:eastAsia="cs-CZ"/>
              </w:rPr>
              <w:t>jako doplňková aktivita bude možná výsadba zeleně v okolí budov a na budovách.</w:t>
            </w:r>
          </w:p>
        </w:tc>
      </w:tr>
      <w:tr w:rsidR="003624D9" w:rsidRPr="003624D9" w:rsidTr="00724AB5">
        <w:trPr>
          <w:trHeight w:val="415"/>
        </w:trPr>
        <w:tc>
          <w:tcPr>
            <w:tcW w:w="3261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Definice příjemce dotace</w:t>
            </w:r>
          </w:p>
        </w:tc>
        <w:tc>
          <w:tcPr>
            <w:tcW w:w="10915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nestátní neziskové organizace; organizační složky státu; příspěvkové organizace organizačních složek státu; kraje; organizace zřizované nebo zakládané kraji; obce; organizace zřizované nebo zakládané obcemi; dobrovolné svazky obcí; organizace zřizované nebo zakládané dobrovolnými svazky obcí; církve; církevní organizace</w:t>
            </w:r>
          </w:p>
        </w:tc>
      </w:tr>
      <w:tr w:rsidR="003624D9" w:rsidRPr="003624D9" w:rsidTr="00724AB5">
        <w:trPr>
          <w:trHeight w:val="415"/>
        </w:trPr>
        <w:tc>
          <w:tcPr>
            <w:tcW w:w="3261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Min. a max. výše podpory</w:t>
            </w:r>
          </w:p>
        </w:tc>
        <w:tc>
          <w:tcPr>
            <w:tcW w:w="10915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MAS předpokládá stanovení limitů a bude o nich informovat v konkrétní výzvě.</w:t>
            </w:r>
          </w:p>
        </w:tc>
      </w:tr>
      <w:tr w:rsidR="003624D9" w:rsidRPr="003624D9" w:rsidTr="00724AB5">
        <w:trPr>
          <w:trHeight w:val="415"/>
        </w:trPr>
        <w:tc>
          <w:tcPr>
            <w:tcW w:w="3261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Principy preferenčních kritérií</w:t>
            </w:r>
          </w:p>
        </w:tc>
        <w:tc>
          <w:tcPr>
            <w:tcW w:w="10915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Preferenční kritéria budou stanovena v konkrétní výzvě MAS.</w:t>
            </w:r>
          </w:p>
        </w:tc>
      </w:tr>
    </w:tbl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3624D9">
        <w:rPr>
          <w:rFonts w:ascii="Calibri" w:eastAsia="Calibri" w:hAnsi="Calibri" w:cs="Times New Roman"/>
          <w:b/>
        </w:rPr>
        <w:lastRenderedPageBreak/>
        <w:t xml:space="preserve">Indikátory </w:t>
      </w:r>
    </w:p>
    <w:tbl>
      <w:tblPr>
        <w:tblW w:w="14176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8"/>
        <w:gridCol w:w="10898"/>
      </w:tblGrid>
      <w:tr w:rsidR="003624D9" w:rsidRPr="003624D9" w:rsidTr="00724AB5">
        <w:trPr>
          <w:trHeight w:val="335"/>
          <w:tblHeader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624D9">
              <w:rPr>
                <w:rFonts w:ascii="Calibri" w:eastAsia="Times New Roman" w:hAnsi="Calibri" w:cs="Arial"/>
                <w:lang w:eastAsia="cs-CZ"/>
              </w:rPr>
              <w:t>ID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624D9">
              <w:rPr>
                <w:rFonts w:ascii="Calibri" w:eastAsia="Times New Roman" w:hAnsi="Calibri" w:cs="Arial"/>
                <w:lang w:eastAsia="cs-CZ"/>
              </w:rPr>
              <w:t>Ukazatel</w:t>
            </w:r>
          </w:p>
        </w:tc>
      </w:tr>
      <w:tr w:rsidR="003624D9" w:rsidRPr="003624D9" w:rsidTr="00724AB5">
        <w:trPr>
          <w:trHeight w:val="2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5 54 01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lang w:eastAsia="cs-CZ"/>
              </w:rPr>
              <w:t>Počet podpořených zázemí pro služby a sociální práci</w:t>
            </w:r>
          </w:p>
        </w:tc>
      </w:tr>
      <w:tr w:rsidR="003624D9" w:rsidRPr="003624D9" w:rsidTr="00724AB5">
        <w:trPr>
          <w:trHeight w:val="2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6 75 10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lang w:eastAsia="cs-CZ"/>
              </w:rPr>
              <w:t>Kapacita služeb a sociální práce</w:t>
            </w:r>
          </w:p>
        </w:tc>
      </w:tr>
      <w:tr w:rsidR="003624D9" w:rsidRPr="003624D9" w:rsidTr="00724AB5">
        <w:trPr>
          <w:trHeight w:val="2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5 54 02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lang w:eastAsia="cs-CZ"/>
              </w:rPr>
              <w:t>Počet poskytovaných druhů sociálních služeb</w:t>
            </w:r>
          </w:p>
        </w:tc>
      </w:tr>
    </w:tbl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10376"/>
      </w:tblGrid>
      <w:tr w:rsidR="003624D9" w:rsidRPr="000114E2" w:rsidTr="00724AB5">
        <w:trPr>
          <w:trHeight w:val="415"/>
        </w:trPr>
        <w:tc>
          <w:tcPr>
            <w:tcW w:w="3800" w:type="dxa"/>
            <w:shd w:val="clear" w:color="auto" w:fill="D6E3BC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trike/>
                <w:szCs w:val="24"/>
                <w:highlight w:val="darkGreen"/>
              </w:rPr>
            </w:pPr>
            <w:r w:rsidRPr="003624D9">
              <w:rPr>
                <w:rFonts w:ascii="Calibri" w:eastAsia="Calibri" w:hAnsi="Calibri" w:cs="Times New Roman"/>
                <w:b/>
                <w:strike/>
                <w:szCs w:val="24"/>
                <w:highlight w:val="darkGreen"/>
              </w:rPr>
              <w:t>Specifický cíl SCLLD</w:t>
            </w:r>
          </w:p>
        </w:tc>
        <w:tc>
          <w:tcPr>
            <w:tcW w:w="10376" w:type="dxa"/>
            <w:shd w:val="clear" w:color="auto" w:fill="D6E3BC"/>
            <w:vAlign w:val="center"/>
          </w:tcPr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Calibri" w:hAnsi="Calibri" w:cs="Times New Roman"/>
                <w:b/>
                <w:strike/>
                <w:szCs w:val="24"/>
                <w:highlight w:val="darkGreen"/>
              </w:rPr>
            </w:pPr>
            <w:r w:rsidRPr="003624D9">
              <w:rPr>
                <w:rFonts w:ascii="Calibri" w:eastAsia="Calibri" w:hAnsi="Calibri" w:cs="Times New Roman"/>
                <w:b/>
                <w:strike/>
                <w:szCs w:val="24"/>
                <w:highlight w:val="darkGreen"/>
              </w:rPr>
              <w:t>1.2 Zajistit dostatečné kapacity sociálních služeb i kapacity zařízení sociálních služeb (se zohledněním přirozené spádovosti obcí) a vytvořit síť sociálního a startovacího bydlení</w:t>
            </w:r>
          </w:p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Calibri" w:hAnsi="Calibri" w:cs="Times New Roman"/>
                <w:b/>
                <w:strike/>
                <w:szCs w:val="24"/>
                <w:highlight w:val="darkGreen"/>
              </w:rPr>
            </w:pPr>
            <w:r w:rsidRPr="003624D9">
              <w:rPr>
                <w:rFonts w:ascii="Calibri" w:eastAsia="Times New Roman" w:hAnsi="Calibri" w:cs="Times New Roman"/>
                <w:strike/>
                <w:szCs w:val="24"/>
                <w:highlight w:val="darkGreen"/>
                <w:lang w:eastAsia="cs-CZ"/>
              </w:rPr>
              <w:t>(</w:t>
            </w:r>
            <w:r w:rsidRPr="003624D9">
              <w:rPr>
                <w:rFonts w:ascii="Calibri" w:eastAsia="Calibri" w:hAnsi="Calibri" w:cs="Times New Roman"/>
                <w:i/>
                <w:strike/>
                <w:szCs w:val="24"/>
                <w:highlight w:val="darkGreen"/>
              </w:rPr>
              <w:t>Opatření SCLLD 1.2.2 Výstavba sociálních bytů)</w:t>
            </w:r>
          </w:p>
        </w:tc>
      </w:tr>
      <w:tr w:rsidR="003624D9" w:rsidRPr="003624D9" w:rsidTr="00724AB5">
        <w:trPr>
          <w:trHeight w:val="415"/>
        </w:trPr>
        <w:tc>
          <w:tcPr>
            <w:tcW w:w="3800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trike/>
                <w:szCs w:val="24"/>
                <w:highlight w:val="darkGreen"/>
              </w:rPr>
            </w:pPr>
            <w:r w:rsidRPr="003624D9">
              <w:rPr>
                <w:rFonts w:ascii="Calibri" w:eastAsia="Calibri" w:hAnsi="Calibri" w:cs="Times New Roman"/>
                <w:b/>
                <w:strike/>
                <w:szCs w:val="24"/>
                <w:highlight w:val="darkGreen"/>
              </w:rPr>
              <w:t>Název opatření</w:t>
            </w:r>
          </w:p>
        </w:tc>
        <w:tc>
          <w:tcPr>
            <w:tcW w:w="10376" w:type="dxa"/>
            <w:vAlign w:val="center"/>
          </w:tcPr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Times New Roman" w:hAnsi="Calibri" w:cs="Times New Roman"/>
                <w:strike/>
                <w:sz w:val="24"/>
                <w:szCs w:val="24"/>
                <w:highlight w:val="darkGreen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trike/>
                <w:szCs w:val="24"/>
                <w:highlight w:val="darkGreen"/>
                <w:lang w:eastAsia="cs-CZ"/>
              </w:rPr>
              <w:t xml:space="preserve"> IROP 5 Sociální byty </w:t>
            </w:r>
          </w:p>
        </w:tc>
      </w:tr>
      <w:tr w:rsidR="003624D9" w:rsidRPr="003624D9" w:rsidTr="00724AB5">
        <w:trPr>
          <w:trHeight w:val="415"/>
        </w:trPr>
        <w:tc>
          <w:tcPr>
            <w:tcW w:w="3800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trike/>
                <w:szCs w:val="24"/>
                <w:highlight w:val="darkGreen"/>
              </w:rPr>
            </w:pPr>
            <w:r w:rsidRPr="003624D9">
              <w:rPr>
                <w:rFonts w:ascii="Calibri" w:eastAsia="Calibri" w:hAnsi="Calibri" w:cs="Times New Roman"/>
                <w:b/>
                <w:strike/>
                <w:szCs w:val="24"/>
                <w:highlight w:val="darkGreen"/>
              </w:rPr>
              <w:t>Vazba na specifický cíl IROP</w:t>
            </w:r>
          </w:p>
        </w:tc>
        <w:tc>
          <w:tcPr>
            <w:tcW w:w="10376" w:type="dxa"/>
            <w:vAlign w:val="center"/>
          </w:tcPr>
          <w:p w:rsidR="003624D9" w:rsidRPr="003624D9" w:rsidRDefault="003624D9" w:rsidP="003624D9">
            <w:pPr>
              <w:spacing w:after="40" w:line="240" w:lineRule="auto"/>
              <w:rPr>
                <w:rFonts w:ascii="Calibri" w:eastAsia="Times New Roman" w:hAnsi="Calibri" w:cs="Times New Roman"/>
                <w:strike/>
                <w:szCs w:val="24"/>
                <w:highlight w:val="darkGreen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trike/>
                <w:szCs w:val="24"/>
                <w:highlight w:val="darkGreen"/>
                <w:lang w:eastAsia="cs-CZ"/>
              </w:rPr>
              <w:t>2.1</w:t>
            </w:r>
            <w:r w:rsidRPr="003624D9">
              <w:rPr>
                <w:rFonts w:ascii="Calibri" w:eastAsia="Calibri" w:hAnsi="Calibri" w:cs="Times New Roman"/>
                <w:b/>
                <w:strike/>
                <w:szCs w:val="24"/>
                <w:highlight w:val="darkGreen"/>
              </w:rPr>
              <w:t xml:space="preserve"> </w:t>
            </w:r>
            <w:r w:rsidRPr="003624D9">
              <w:rPr>
                <w:rFonts w:ascii="Calibri" w:eastAsia="Calibri" w:hAnsi="Calibri" w:cs="Times New Roman"/>
                <w:strike/>
                <w:szCs w:val="24"/>
                <w:highlight w:val="darkGreen"/>
              </w:rPr>
              <w:t>Zvýšení kvality a dostupnosti služeb vedoucí k sociální inkluzi, 4.1 Posílení komunitně vedeného místního rozvoje za účelem zvýšení kvality ve venkovských oblastech a aktivizace místního potenciálu</w:t>
            </w:r>
          </w:p>
        </w:tc>
      </w:tr>
      <w:tr w:rsidR="003624D9" w:rsidRPr="003624D9" w:rsidTr="00724AB5">
        <w:trPr>
          <w:trHeight w:val="415"/>
        </w:trPr>
        <w:tc>
          <w:tcPr>
            <w:tcW w:w="3800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trike/>
                <w:szCs w:val="24"/>
                <w:highlight w:val="darkGreen"/>
              </w:rPr>
            </w:pPr>
            <w:r w:rsidRPr="003624D9">
              <w:rPr>
                <w:rFonts w:ascii="Calibri" w:eastAsia="Calibri" w:hAnsi="Calibri" w:cs="Times New Roman"/>
                <w:b/>
                <w:strike/>
                <w:szCs w:val="24"/>
                <w:highlight w:val="darkGreen"/>
              </w:rPr>
              <w:t>Typy projektů</w:t>
            </w:r>
          </w:p>
        </w:tc>
        <w:tc>
          <w:tcPr>
            <w:tcW w:w="10376" w:type="dxa"/>
            <w:vAlign w:val="center"/>
          </w:tcPr>
          <w:p w:rsidR="003624D9" w:rsidRPr="003624D9" w:rsidRDefault="003624D9" w:rsidP="003624D9">
            <w:pPr>
              <w:keepNext/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highlight w:val="darkGreen"/>
                <w:lang w:eastAsia="cs-CZ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  <w:highlight w:val="darkGreen"/>
              </w:rPr>
              <w:t>Popis opatření</w:t>
            </w:r>
            <w:r w:rsidRPr="003624D9">
              <w:rPr>
                <w:rFonts w:ascii="Calibri" w:eastAsia="Times New Roman" w:hAnsi="Calibri" w:cs="Times New Roman"/>
                <w:b/>
                <w:szCs w:val="24"/>
                <w:highlight w:val="darkGreen"/>
                <w:lang w:eastAsia="cs-CZ"/>
              </w:rPr>
              <w:t xml:space="preserve">: </w:t>
            </w:r>
            <w:r w:rsidR="00FD5482">
              <w:rPr>
                <w:rFonts w:ascii="Calibri" w:eastAsia="Times New Roman" w:hAnsi="Calibri" w:cs="Times New Roman"/>
                <w:szCs w:val="24"/>
                <w:highlight w:val="darkGreen"/>
                <w:lang w:eastAsia="cs-CZ"/>
              </w:rPr>
              <w:t xml:space="preserve">K datu </w:t>
            </w:r>
            <w:r w:rsidR="00392F41">
              <w:rPr>
                <w:rFonts w:ascii="Calibri" w:eastAsia="Times New Roman" w:hAnsi="Calibri" w:cs="Times New Roman"/>
                <w:szCs w:val="24"/>
                <w:highlight w:val="darkGreen"/>
                <w:lang w:eastAsia="cs-CZ"/>
              </w:rPr>
              <w:t xml:space="preserve">14.11.2019 </w:t>
            </w:r>
            <w:r w:rsidR="00FD5482">
              <w:rPr>
                <w:rFonts w:ascii="Calibri" w:eastAsia="Times New Roman" w:hAnsi="Calibri" w:cs="Times New Roman"/>
                <w:szCs w:val="24"/>
                <w:highlight w:val="darkGreen"/>
                <w:lang w:eastAsia="cs-CZ"/>
              </w:rPr>
              <w:t>došlo k odstranění celého opatření „</w:t>
            </w:r>
            <w:r w:rsidR="008E3B0B">
              <w:rPr>
                <w:rFonts w:ascii="Calibri" w:eastAsia="Times New Roman" w:hAnsi="Calibri" w:cs="Times New Roman"/>
                <w:szCs w:val="24"/>
                <w:highlight w:val="darkGreen"/>
                <w:lang w:eastAsia="cs-CZ"/>
              </w:rPr>
              <w:t>IROP 5 Sociální byty“ z</w:t>
            </w:r>
            <w:r w:rsidR="004D6EF8">
              <w:rPr>
                <w:rFonts w:ascii="Calibri" w:eastAsia="Times New Roman" w:hAnsi="Calibri" w:cs="Times New Roman"/>
                <w:szCs w:val="24"/>
                <w:highlight w:val="darkGreen"/>
                <w:lang w:eastAsia="cs-CZ"/>
              </w:rPr>
              <w:t> </w:t>
            </w:r>
            <w:r w:rsidR="008E3B0B">
              <w:rPr>
                <w:rFonts w:ascii="Calibri" w:eastAsia="Times New Roman" w:hAnsi="Calibri" w:cs="Times New Roman"/>
                <w:szCs w:val="24"/>
                <w:highlight w:val="darkGreen"/>
                <w:lang w:eastAsia="cs-CZ"/>
              </w:rPr>
              <w:t>důvodu</w:t>
            </w:r>
            <w:r w:rsidR="004D6EF8">
              <w:rPr>
                <w:rFonts w:ascii="Calibri" w:eastAsia="Times New Roman" w:hAnsi="Calibri" w:cs="Times New Roman"/>
                <w:szCs w:val="24"/>
                <w:highlight w:val="darkGreen"/>
                <w:lang w:eastAsia="cs-CZ"/>
              </w:rPr>
              <w:t xml:space="preserve"> nezájmu v území. Tato změna byla komunitně projednána.</w:t>
            </w:r>
          </w:p>
          <w:p w:rsidR="003624D9" w:rsidRPr="003624D9" w:rsidRDefault="003624D9" w:rsidP="003624D9">
            <w:pPr>
              <w:keepNext/>
              <w:spacing w:after="120" w:line="240" w:lineRule="auto"/>
              <w:jc w:val="both"/>
              <w:rPr>
                <w:rFonts w:ascii="Calibri" w:eastAsia="Times New Roman" w:hAnsi="Calibri" w:cs="Times New Roman"/>
                <w:strike/>
                <w:szCs w:val="24"/>
                <w:highlight w:val="darkGreen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trike/>
                <w:szCs w:val="24"/>
                <w:highlight w:val="darkGreen"/>
                <w:lang w:eastAsia="cs-CZ"/>
              </w:rPr>
              <w:t>Toto opatření navazuje na opatření 1.2.1. a 1.2.3.</w:t>
            </w:r>
          </w:p>
          <w:p w:rsidR="003624D9" w:rsidRPr="003624D9" w:rsidRDefault="003624D9" w:rsidP="003624D9">
            <w:pPr>
              <w:keepNext/>
              <w:spacing w:after="120" w:line="240" w:lineRule="auto"/>
              <w:jc w:val="both"/>
              <w:rPr>
                <w:rFonts w:ascii="Calibri" w:eastAsia="Times New Roman" w:hAnsi="Calibri" w:cs="Times New Roman"/>
                <w:strike/>
                <w:szCs w:val="24"/>
                <w:highlight w:val="darkGreen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strike/>
                <w:szCs w:val="24"/>
                <w:highlight w:val="darkGreen"/>
                <w:lang w:eastAsia="cs-CZ"/>
              </w:rPr>
              <w:t>Cílem opatření</w:t>
            </w:r>
            <w:r w:rsidRPr="003624D9">
              <w:rPr>
                <w:rFonts w:ascii="Calibri" w:eastAsia="Times New Roman" w:hAnsi="Calibri" w:cs="Times New Roman"/>
                <w:strike/>
                <w:szCs w:val="24"/>
                <w:highlight w:val="darkGreen"/>
                <w:lang w:eastAsia="cs-CZ"/>
              </w:rPr>
              <w:t xml:space="preserve"> je vytvoření bydlení pro potřebné za účelem snížení rizika sociálního vyloučení nebo ke zmírnění jeho dopadů.</w:t>
            </w:r>
          </w:p>
          <w:p w:rsidR="003624D9" w:rsidRPr="003624D9" w:rsidRDefault="003624D9" w:rsidP="003624D9">
            <w:pPr>
              <w:keepNext/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strike/>
                <w:szCs w:val="24"/>
                <w:highlight w:val="darkGreen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strike/>
                <w:szCs w:val="24"/>
                <w:highlight w:val="darkGreen"/>
                <w:lang w:eastAsia="cs-CZ"/>
              </w:rPr>
              <w:t>Aktivity k naplnění opatření:</w:t>
            </w:r>
          </w:p>
          <w:p w:rsidR="003624D9" w:rsidRPr="003624D9" w:rsidRDefault="003624D9" w:rsidP="003624D9">
            <w:pPr>
              <w:numPr>
                <w:ilvl w:val="0"/>
                <w:numId w:val="4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strike/>
                <w:szCs w:val="24"/>
                <w:highlight w:val="darkGreen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trike/>
                <w:szCs w:val="24"/>
                <w:highlight w:val="darkGreen"/>
                <w:lang w:eastAsia="cs-CZ"/>
              </w:rPr>
              <w:t xml:space="preserve">pořízení bytů, bytových domů, nebytových prostor a jejich adaptace pro potřeby sociálního bydlení a pořízení nezbytného základního vybavení. </w:t>
            </w:r>
          </w:p>
          <w:p w:rsidR="003624D9" w:rsidRPr="003624D9" w:rsidRDefault="003624D9" w:rsidP="003624D9">
            <w:pPr>
              <w:numPr>
                <w:ilvl w:val="0"/>
                <w:numId w:val="4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i/>
                <w:strike/>
                <w:szCs w:val="24"/>
                <w:highlight w:val="darkGreen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trike/>
                <w:szCs w:val="24"/>
                <w:highlight w:val="darkGreen"/>
                <w:lang w:eastAsia="cs-CZ"/>
              </w:rPr>
              <w:t>sociální bydlení je určeno osobám z cílových skupin, které v důsledku nepříznivých životních okolností nemají přístup k bydlení a jsou schopné plnit povinnosti vyplývající z nájemního vztahu. Podpora nevede k segregaci osob z cílových skupin.</w:t>
            </w:r>
          </w:p>
          <w:p w:rsidR="003624D9" w:rsidRPr="003624D9" w:rsidRDefault="003624D9" w:rsidP="003624D9">
            <w:pPr>
              <w:numPr>
                <w:ilvl w:val="0"/>
                <w:numId w:val="4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i/>
                <w:strike/>
                <w:szCs w:val="24"/>
                <w:highlight w:val="darkGreen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i/>
                <w:strike/>
                <w:szCs w:val="24"/>
                <w:highlight w:val="darkGreen"/>
                <w:lang w:eastAsia="cs-CZ"/>
              </w:rPr>
              <w:t>Jako doplňková aktivita bude podporováno zahrnutí zeleně v okolí budov a na budovách, např. zelené zdi a střechy, aleje, hřiště a parky do realizovaných projektů.</w:t>
            </w:r>
          </w:p>
        </w:tc>
      </w:tr>
      <w:tr w:rsidR="003624D9" w:rsidRPr="003624D9" w:rsidTr="00724AB5">
        <w:trPr>
          <w:trHeight w:val="415"/>
        </w:trPr>
        <w:tc>
          <w:tcPr>
            <w:tcW w:w="3800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trike/>
                <w:szCs w:val="24"/>
                <w:highlight w:val="darkGreen"/>
              </w:rPr>
            </w:pPr>
            <w:r w:rsidRPr="003624D9">
              <w:rPr>
                <w:rFonts w:ascii="Calibri" w:eastAsia="Calibri" w:hAnsi="Calibri" w:cs="Times New Roman"/>
                <w:b/>
                <w:strike/>
                <w:szCs w:val="24"/>
                <w:highlight w:val="darkGreen"/>
              </w:rPr>
              <w:t>Definice příjemce dotace</w:t>
            </w:r>
          </w:p>
        </w:tc>
        <w:tc>
          <w:tcPr>
            <w:tcW w:w="10376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strike/>
                <w:szCs w:val="24"/>
                <w:highlight w:val="darkGreen"/>
              </w:rPr>
            </w:pPr>
            <w:r w:rsidRPr="003624D9">
              <w:rPr>
                <w:rFonts w:ascii="Calibri" w:eastAsia="Calibri" w:hAnsi="Calibri" w:cs="Times New Roman"/>
                <w:strike/>
                <w:szCs w:val="24"/>
                <w:highlight w:val="darkGreen"/>
              </w:rPr>
              <w:t>obce; nestátní neziskové organizace; církve; církevní organizace</w:t>
            </w:r>
          </w:p>
        </w:tc>
      </w:tr>
      <w:tr w:rsidR="003624D9" w:rsidRPr="003624D9" w:rsidTr="00724AB5">
        <w:trPr>
          <w:trHeight w:val="415"/>
        </w:trPr>
        <w:tc>
          <w:tcPr>
            <w:tcW w:w="3800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trike/>
                <w:szCs w:val="24"/>
                <w:highlight w:val="darkGreen"/>
              </w:rPr>
            </w:pPr>
            <w:r w:rsidRPr="003624D9">
              <w:rPr>
                <w:rFonts w:ascii="Calibri" w:eastAsia="Calibri" w:hAnsi="Calibri" w:cs="Times New Roman"/>
                <w:b/>
                <w:strike/>
                <w:szCs w:val="24"/>
                <w:highlight w:val="darkGreen"/>
              </w:rPr>
              <w:lastRenderedPageBreak/>
              <w:t>Min. a max. výše podpory</w:t>
            </w:r>
          </w:p>
        </w:tc>
        <w:tc>
          <w:tcPr>
            <w:tcW w:w="10376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strike/>
                <w:szCs w:val="24"/>
                <w:highlight w:val="darkGreen"/>
              </w:rPr>
            </w:pPr>
            <w:r w:rsidRPr="003624D9">
              <w:rPr>
                <w:rFonts w:ascii="Calibri" w:eastAsia="Calibri" w:hAnsi="Calibri" w:cs="Times New Roman"/>
                <w:strike/>
                <w:szCs w:val="24"/>
                <w:highlight w:val="darkGreen"/>
              </w:rPr>
              <w:t>MAS předpokládá stanovení limitů a bude o nich informovat v konkrétní výzvě.</w:t>
            </w:r>
          </w:p>
        </w:tc>
      </w:tr>
      <w:tr w:rsidR="003624D9" w:rsidRPr="003624D9" w:rsidTr="00724AB5">
        <w:trPr>
          <w:trHeight w:val="415"/>
        </w:trPr>
        <w:tc>
          <w:tcPr>
            <w:tcW w:w="3800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trike/>
                <w:szCs w:val="24"/>
                <w:highlight w:val="darkGreen"/>
              </w:rPr>
            </w:pPr>
            <w:r w:rsidRPr="003624D9">
              <w:rPr>
                <w:rFonts w:ascii="Calibri" w:eastAsia="Calibri" w:hAnsi="Calibri" w:cs="Times New Roman"/>
                <w:b/>
                <w:strike/>
                <w:szCs w:val="24"/>
                <w:highlight w:val="darkGreen"/>
              </w:rPr>
              <w:t>Principy preferenčních kritérií</w:t>
            </w:r>
          </w:p>
        </w:tc>
        <w:tc>
          <w:tcPr>
            <w:tcW w:w="10376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strike/>
                <w:szCs w:val="24"/>
                <w:highlight w:val="darkGreen"/>
              </w:rPr>
            </w:pPr>
            <w:r w:rsidRPr="003624D9">
              <w:rPr>
                <w:rFonts w:ascii="Calibri" w:eastAsia="Calibri" w:hAnsi="Calibri" w:cs="Times New Roman"/>
                <w:strike/>
                <w:szCs w:val="24"/>
                <w:highlight w:val="darkGreen"/>
              </w:rPr>
              <w:t>Preferenční kritéria budou stanovena v konkrétní výzvě MAS.</w:t>
            </w:r>
          </w:p>
        </w:tc>
      </w:tr>
    </w:tbl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strike/>
          <w:highlight w:val="darkGree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strike/>
          <w:highlight w:val="darkGree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b/>
          <w:strike/>
          <w:highlight w:val="darkGreen"/>
        </w:rPr>
      </w:pPr>
      <w:r w:rsidRPr="003624D9">
        <w:rPr>
          <w:rFonts w:ascii="Calibri" w:eastAsia="Calibri" w:hAnsi="Calibri" w:cs="Times New Roman"/>
          <w:b/>
          <w:strike/>
          <w:highlight w:val="darkGreen"/>
        </w:rPr>
        <w:t>Indikátory</w:t>
      </w:r>
    </w:p>
    <w:tbl>
      <w:tblPr>
        <w:tblW w:w="14176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8"/>
        <w:gridCol w:w="10898"/>
      </w:tblGrid>
      <w:tr w:rsidR="003624D9" w:rsidRPr="000114E2" w:rsidTr="00724AB5">
        <w:trPr>
          <w:trHeight w:val="335"/>
          <w:tblHeader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Arial"/>
                <w:strike/>
                <w:highlight w:val="darkGreen"/>
                <w:lang w:eastAsia="cs-CZ"/>
              </w:rPr>
            </w:pPr>
            <w:r w:rsidRPr="003624D9">
              <w:rPr>
                <w:rFonts w:ascii="Calibri" w:eastAsia="Times New Roman" w:hAnsi="Calibri" w:cs="Arial"/>
                <w:strike/>
                <w:highlight w:val="darkGreen"/>
                <w:lang w:eastAsia="cs-CZ"/>
              </w:rPr>
              <w:t>ID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Arial"/>
                <w:strike/>
                <w:highlight w:val="darkGreen"/>
                <w:lang w:eastAsia="cs-CZ"/>
              </w:rPr>
            </w:pPr>
            <w:r w:rsidRPr="003624D9">
              <w:rPr>
                <w:rFonts w:ascii="Calibri" w:eastAsia="Times New Roman" w:hAnsi="Calibri" w:cs="Arial"/>
                <w:strike/>
                <w:highlight w:val="darkGreen"/>
                <w:lang w:eastAsia="cs-CZ"/>
              </w:rPr>
              <w:t>Ukazatel</w:t>
            </w:r>
          </w:p>
        </w:tc>
      </w:tr>
      <w:tr w:rsidR="003624D9" w:rsidRPr="003624D9" w:rsidTr="00724AB5">
        <w:trPr>
          <w:trHeight w:val="2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trike/>
                <w:highlight w:val="darkGreen"/>
              </w:rPr>
            </w:pPr>
            <w:r w:rsidRPr="003624D9">
              <w:rPr>
                <w:rFonts w:ascii="Calibri" w:eastAsia="Calibri" w:hAnsi="Calibri" w:cs="Times New Roman"/>
                <w:strike/>
                <w:highlight w:val="darkGreen"/>
              </w:rPr>
              <w:t>5 53 01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trike/>
                <w:highlight w:val="darkGreen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trike/>
                <w:highlight w:val="darkGreen"/>
                <w:lang w:eastAsia="cs-CZ"/>
              </w:rPr>
              <w:t>Počet podpořených bytů pro sociální bydlení</w:t>
            </w:r>
          </w:p>
        </w:tc>
      </w:tr>
      <w:tr w:rsidR="003624D9" w:rsidRPr="003624D9" w:rsidTr="00724AB5">
        <w:trPr>
          <w:trHeight w:val="2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trike/>
                <w:highlight w:val="darkGreen"/>
              </w:rPr>
            </w:pPr>
            <w:r w:rsidRPr="003624D9">
              <w:rPr>
                <w:rFonts w:ascii="Calibri" w:eastAsia="Calibri" w:hAnsi="Calibri" w:cs="Times New Roman"/>
                <w:strike/>
                <w:highlight w:val="darkGreen"/>
              </w:rPr>
              <w:t>5 53 10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trike/>
                <w:highlight w:val="darkGreen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trike/>
                <w:highlight w:val="darkGreen"/>
                <w:lang w:eastAsia="cs-CZ"/>
              </w:rPr>
              <w:t>Nárůst kapacity sociálních bytů</w:t>
            </w:r>
          </w:p>
        </w:tc>
      </w:tr>
      <w:tr w:rsidR="003624D9" w:rsidRPr="003624D9" w:rsidTr="00724AB5">
        <w:trPr>
          <w:trHeight w:val="2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trike/>
                <w:highlight w:val="darkGreen"/>
              </w:rPr>
            </w:pPr>
            <w:r w:rsidRPr="003624D9">
              <w:rPr>
                <w:rFonts w:ascii="Calibri" w:eastAsia="Calibri" w:hAnsi="Calibri" w:cs="Times New Roman"/>
                <w:strike/>
                <w:highlight w:val="darkGreen"/>
              </w:rPr>
              <w:t>5 53 20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trike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trike/>
                <w:highlight w:val="darkGreen"/>
                <w:lang w:eastAsia="cs-CZ"/>
              </w:rPr>
              <w:t>Průměrný počet osob využívající sociální bydlení</w:t>
            </w:r>
          </w:p>
        </w:tc>
      </w:tr>
    </w:tbl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10518"/>
      </w:tblGrid>
      <w:tr w:rsidR="003624D9" w:rsidRPr="003624D9" w:rsidTr="00C35245">
        <w:trPr>
          <w:trHeight w:val="415"/>
        </w:trPr>
        <w:tc>
          <w:tcPr>
            <w:tcW w:w="3658" w:type="dxa"/>
            <w:shd w:val="clear" w:color="auto" w:fill="D6E3BC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</w:rPr>
              <w:tab/>
            </w:r>
            <w:r w:rsidRPr="003624D9">
              <w:rPr>
                <w:rFonts w:ascii="Calibri" w:eastAsia="Calibri" w:hAnsi="Calibri" w:cs="Times New Roman"/>
                <w:b/>
                <w:szCs w:val="24"/>
              </w:rPr>
              <w:t>Specifický cíl SCLLD</w:t>
            </w:r>
          </w:p>
        </w:tc>
        <w:tc>
          <w:tcPr>
            <w:tcW w:w="10518" w:type="dxa"/>
            <w:shd w:val="clear" w:color="auto" w:fill="D6E3BC"/>
            <w:vAlign w:val="center"/>
          </w:tcPr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 xml:space="preserve"> 1.1 Posílit dostupnost a kvalitu základních, mateřských škol a zájmového vzdělávání</w:t>
            </w:r>
          </w:p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(</w:t>
            </w:r>
            <w:r w:rsidRPr="003624D9">
              <w:rPr>
                <w:rFonts w:ascii="Calibri" w:eastAsia="Calibri" w:hAnsi="Calibri" w:cs="Times New Roman"/>
                <w:i/>
                <w:szCs w:val="24"/>
              </w:rPr>
              <w:t>Opatření SCLLD 1.1.1 Podpora předškolního vzdělávání)</w:t>
            </w:r>
          </w:p>
        </w:tc>
      </w:tr>
      <w:tr w:rsidR="003624D9" w:rsidRPr="003624D9" w:rsidTr="00C35245">
        <w:trPr>
          <w:trHeight w:val="415"/>
        </w:trPr>
        <w:tc>
          <w:tcPr>
            <w:tcW w:w="3658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Název opatření</w:t>
            </w:r>
          </w:p>
        </w:tc>
        <w:tc>
          <w:tcPr>
            <w:tcW w:w="10518" w:type="dxa"/>
            <w:vAlign w:val="center"/>
          </w:tcPr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 xml:space="preserve">IROP 6 Předškolní vzdělávání </w:t>
            </w:r>
          </w:p>
        </w:tc>
      </w:tr>
      <w:tr w:rsidR="003624D9" w:rsidRPr="003624D9" w:rsidTr="00C35245">
        <w:trPr>
          <w:trHeight w:val="415"/>
        </w:trPr>
        <w:tc>
          <w:tcPr>
            <w:tcW w:w="3658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Vazba na specifický cíl IROP</w:t>
            </w:r>
          </w:p>
        </w:tc>
        <w:tc>
          <w:tcPr>
            <w:tcW w:w="10518" w:type="dxa"/>
            <w:vAlign w:val="center"/>
          </w:tcPr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 2.4</w:t>
            </w:r>
            <w:r w:rsidRPr="003624D9"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Zvýšení kvality a dostupnosti infrastruktury pro vzdělávání a celoživotní učení, </w:t>
            </w:r>
            <w:r w:rsidRPr="003624D9">
              <w:rPr>
                <w:rFonts w:ascii="Calibri" w:eastAsia="Calibri" w:hAnsi="Calibri" w:cs="Times New Roman"/>
                <w:szCs w:val="24"/>
              </w:rPr>
              <w:t>4.1 Posílení komunitně vedeného místního rozvoje za účelem zvýšení kvality ve venkovských oblastech a aktivizace místního potenciálu</w:t>
            </w:r>
          </w:p>
        </w:tc>
      </w:tr>
      <w:tr w:rsidR="003624D9" w:rsidRPr="003624D9" w:rsidTr="00C35245">
        <w:trPr>
          <w:trHeight w:val="415"/>
        </w:trPr>
        <w:tc>
          <w:tcPr>
            <w:tcW w:w="3658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Typy projektů</w:t>
            </w:r>
          </w:p>
        </w:tc>
        <w:tc>
          <w:tcPr>
            <w:tcW w:w="10518" w:type="dxa"/>
            <w:vAlign w:val="center"/>
          </w:tcPr>
          <w:p w:rsidR="003624D9" w:rsidRPr="003624D9" w:rsidRDefault="003624D9" w:rsidP="003624D9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Popis opatření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: Naplněnost mateřských škol v území byla ve sledovaném období </w:t>
            </w:r>
            <w:proofErr w:type="gramStart"/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93,8%</w:t>
            </w:r>
            <w:proofErr w:type="gramEnd"/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; na území neexistují jesle a pouze jedna lesní školka. V důsledku intenzivního osidlování příměstské krajiny MAS Slavkovské bojiště je nutné především zajistit dostatečnou kapacitu zařízení pro vzdělávání dětí předškolního věku. Navrhované opatření posílí kapacitu předškolních zařízení a v kontextu této strategie na toto opatření navazuje další opatření v prioritní oblasti Podnikání a zaměstnanost, zejména opatření 3.2.3: Prorodinná opatření.</w:t>
            </w:r>
          </w:p>
          <w:p w:rsidR="003624D9" w:rsidRPr="003624D9" w:rsidRDefault="003624D9" w:rsidP="003624D9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>Cílem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 </w:t>
            </w: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>opatření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 je zajištění dostatečné kapacity zařízení pro vzdělávání dětí předškolního věku. </w:t>
            </w:r>
          </w:p>
          <w:p w:rsidR="003624D9" w:rsidRPr="003624D9" w:rsidRDefault="003624D9" w:rsidP="003624D9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>Aktivity k naplnění opatření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: </w:t>
            </w:r>
          </w:p>
          <w:p w:rsidR="003624D9" w:rsidRPr="003624D9" w:rsidRDefault="003624D9" w:rsidP="003624D9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stavby, stavební úpravy zařízení poskytujících předškolní vzdělávání; </w:t>
            </w:r>
          </w:p>
          <w:p w:rsidR="003624D9" w:rsidRPr="003624D9" w:rsidRDefault="003624D9" w:rsidP="003624D9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vybavení prostor MŠ, pořízení kompenzačních pomůcek pro zapojení handicapovaných dětí, </w:t>
            </w:r>
          </w:p>
          <w:p w:rsidR="003624D9" w:rsidRPr="003624D9" w:rsidRDefault="003624D9" w:rsidP="003624D9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podpora vzniku lesních školek, dětských skupin, soukromých školek, zařízení pro děti do tří let</w:t>
            </w:r>
            <w:r w:rsidRPr="003624D9">
              <w:rPr>
                <w:rFonts w:ascii="Calibri" w:eastAsia="Times New Roman" w:hAnsi="Calibri" w:cs="Times New Roman"/>
                <w:b/>
                <w:bCs/>
                <w:szCs w:val="24"/>
                <w:lang w:eastAsia="cs-CZ"/>
              </w:rPr>
              <w:t xml:space="preserve">;  </w:t>
            </w:r>
          </w:p>
          <w:p w:rsidR="003624D9" w:rsidRPr="003624D9" w:rsidRDefault="003624D9" w:rsidP="003624D9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budování přírodních zahrad u školek.</w:t>
            </w:r>
          </w:p>
        </w:tc>
      </w:tr>
      <w:tr w:rsidR="003624D9" w:rsidRPr="003624D9" w:rsidTr="00C35245">
        <w:trPr>
          <w:trHeight w:val="415"/>
        </w:trPr>
        <w:tc>
          <w:tcPr>
            <w:tcW w:w="3658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lastRenderedPageBreak/>
              <w:t>Definice příjemce dotace</w:t>
            </w:r>
          </w:p>
        </w:tc>
        <w:tc>
          <w:tcPr>
            <w:tcW w:w="10518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zařízení péče o děti do 3 let; školy a školská zařízení v oblasti předškolního vzdělávání, další subjekty podílející se na realizaci vzdělávacích aktivit; obce; organizace zřizované nebo zakládané obcemi; nestátní neziskové organizace; církve; církevní organizace; organizační složky státu; příspěvkové organizace organizačních složek státu</w:t>
            </w:r>
          </w:p>
        </w:tc>
      </w:tr>
      <w:tr w:rsidR="003624D9" w:rsidRPr="003624D9" w:rsidTr="00C35245">
        <w:trPr>
          <w:trHeight w:val="415"/>
        </w:trPr>
        <w:tc>
          <w:tcPr>
            <w:tcW w:w="3658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Min. a max. výše podpory</w:t>
            </w:r>
          </w:p>
        </w:tc>
        <w:tc>
          <w:tcPr>
            <w:tcW w:w="10518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MAS předpokládá stanovení limitů a bude o nich informovat v konkrétní výzvě.</w:t>
            </w:r>
          </w:p>
        </w:tc>
      </w:tr>
      <w:tr w:rsidR="003624D9" w:rsidRPr="003624D9" w:rsidTr="00C35245">
        <w:trPr>
          <w:trHeight w:val="415"/>
        </w:trPr>
        <w:tc>
          <w:tcPr>
            <w:tcW w:w="3658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Principy preferenčních kritérií</w:t>
            </w:r>
          </w:p>
        </w:tc>
        <w:tc>
          <w:tcPr>
            <w:tcW w:w="10518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Preferenční kritéria budou stanovena v konkrétní výzvě MAS.</w:t>
            </w:r>
          </w:p>
        </w:tc>
      </w:tr>
    </w:tbl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3624D9">
        <w:rPr>
          <w:rFonts w:ascii="Calibri" w:eastAsia="Calibri" w:hAnsi="Calibri" w:cs="Times New Roman"/>
          <w:b/>
        </w:rPr>
        <w:t xml:space="preserve">Indikátory </w:t>
      </w:r>
    </w:p>
    <w:tbl>
      <w:tblPr>
        <w:tblW w:w="14176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6"/>
        <w:gridCol w:w="11040"/>
      </w:tblGrid>
      <w:tr w:rsidR="003624D9" w:rsidRPr="003624D9" w:rsidTr="00C35245">
        <w:trPr>
          <w:trHeight w:val="335"/>
          <w:tblHeader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624D9">
              <w:rPr>
                <w:rFonts w:ascii="Calibri" w:eastAsia="Times New Roman" w:hAnsi="Calibri" w:cs="Arial"/>
                <w:lang w:eastAsia="cs-CZ"/>
              </w:rPr>
              <w:t>ID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624D9">
              <w:rPr>
                <w:rFonts w:ascii="Calibri" w:eastAsia="Times New Roman" w:hAnsi="Calibri" w:cs="Arial"/>
                <w:lang w:eastAsia="cs-CZ"/>
              </w:rPr>
              <w:t>Ukazatel</w:t>
            </w:r>
          </w:p>
        </w:tc>
      </w:tr>
      <w:tr w:rsidR="003624D9" w:rsidRPr="003624D9" w:rsidTr="00C35245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5 00 00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lang w:eastAsia="cs-CZ"/>
              </w:rPr>
              <w:t>Počet podpořených vzdělávacích zařízení</w:t>
            </w:r>
          </w:p>
        </w:tc>
      </w:tr>
      <w:tr w:rsidR="003624D9" w:rsidRPr="003624D9" w:rsidTr="00C35245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5 00 01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Kapacita podporovaných zařízení péče o děti nebo vzdělávacích zařízení</w:t>
            </w:r>
          </w:p>
        </w:tc>
      </w:tr>
      <w:tr w:rsidR="003624D9" w:rsidRPr="003624D9" w:rsidTr="00C35245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5 01 20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Počet osob využívající zařízení péče o děti do 3 let</w:t>
            </w:r>
          </w:p>
        </w:tc>
      </w:tr>
      <w:tr w:rsidR="003624D9" w:rsidRPr="003624D9" w:rsidTr="00C35245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5 00 20</w:t>
            </w:r>
          </w:p>
        </w:tc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Podíl tříletých dětí umístěných v předškolním zařízení</w:t>
            </w:r>
          </w:p>
        </w:tc>
      </w:tr>
    </w:tbl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3624D9">
        <w:rPr>
          <w:rFonts w:ascii="Calibri" w:eastAsia="Calibri" w:hAnsi="Calibri" w:cs="Times New Roman"/>
          <w:b/>
        </w:rPr>
        <w:tab/>
      </w:r>
      <w:r w:rsidRPr="003624D9">
        <w:rPr>
          <w:rFonts w:ascii="Calibri" w:eastAsia="Calibri" w:hAnsi="Calibri" w:cs="Times New Roman"/>
          <w:b/>
        </w:rPr>
        <w:tab/>
      </w:r>
      <w:r w:rsidRPr="003624D9">
        <w:rPr>
          <w:rFonts w:ascii="Calibri" w:eastAsia="Calibri" w:hAnsi="Calibri" w:cs="Times New Roman"/>
          <w:b/>
        </w:rPr>
        <w:tab/>
      </w: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10235"/>
      </w:tblGrid>
      <w:tr w:rsidR="003624D9" w:rsidRPr="003624D9" w:rsidTr="00C35245">
        <w:trPr>
          <w:trHeight w:val="415"/>
        </w:trPr>
        <w:tc>
          <w:tcPr>
            <w:tcW w:w="3941" w:type="dxa"/>
            <w:shd w:val="clear" w:color="auto" w:fill="D6E3BC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</w:rPr>
              <w:tab/>
            </w:r>
            <w:r w:rsidRPr="003624D9">
              <w:rPr>
                <w:rFonts w:ascii="Calibri" w:eastAsia="Calibri" w:hAnsi="Calibri" w:cs="Times New Roman"/>
                <w:b/>
                <w:szCs w:val="24"/>
              </w:rPr>
              <w:t>Specifický cíl SCLLD</w:t>
            </w:r>
          </w:p>
        </w:tc>
        <w:tc>
          <w:tcPr>
            <w:tcW w:w="10235" w:type="dxa"/>
            <w:shd w:val="clear" w:color="auto" w:fill="D6E3BC"/>
            <w:vAlign w:val="center"/>
          </w:tcPr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>1.1 Posílit dostupnost a kvalitu základních, mateřských škol a zájmového vzdělávání</w:t>
            </w:r>
          </w:p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(</w:t>
            </w:r>
            <w:r w:rsidRPr="003624D9">
              <w:rPr>
                <w:rFonts w:ascii="Calibri" w:eastAsia="Calibri" w:hAnsi="Calibri" w:cs="Times New Roman"/>
                <w:i/>
                <w:szCs w:val="24"/>
              </w:rPr>
              <w:t>Opatření SCLLD 1.1.2 Zkvalitňování výuky na základních školách)</w:t>
            </w:r>
          </w:p>
        </w:tc>
      </w:tr>
      <w:tr w:rsidR="003624D9" w:rsidRPr="003624D9" w:rsidTr="00C35245">
        <w:trPr>
          <w:trHeight w:val="415"/>
        </w:trPr>
        <w:tc>
          <w:tcPr>
            <w:tcW w:w="3941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Název opatření</w:t>
            </w:r>
          </w:p>
        </w:tc>
        <w:tc>
          <w:tcPr>
            <w:tcW w:w="10235" w:type="dxa"/>
            <w:vAlign w:val="center"/>
          </w:tcPr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 xml:space="preserve">IROP 7 Základní vzdělávání </w:t>
            </w:r>
          </w:p>
        </w:tc>
      </w:tr>
      <w:tr w:rsidR="003624D9" w:rsidRPr="003624D9" w:rsidTr="00C35245">
        <w:trPr>
          <w:trHeight w:val="415"/>
        </w:trPr>
        <w:tc>
          <w:tcPr>
            <w:tcW w:w="3941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Vazba na specifický cíl IROP</w:t>
            </w:r>
          </w:p>
        </w:tc>
        <w:tc>
          <w:tcPr>
            <w:tcW w:w="10235" w:type="dxa"/>
            <w:vAlign w:val="center"/>
          </w:tcPr>
          <w:p w:rsidR="003624D9" w:rsidRPr="003624D9" w:rsidRDefault="003624D9" w:rsidP="003624D9">
            <w:pPr>
              <w:spacing w:after="4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2.4</w:t>
            </w:r>
            <w:r w:rsidRPr="003624D9"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Zvýšení kvality a dostupnosti infrastruktury pro vzdělávání a celoživotní učení, </w:t>
            </w:r>
            <w:r w:rsidRPr="003624D9">
              <w:rPr>
                <w:rFonts w:ascii="Calibri" w:eastAsia="Calibri" w:hAnsi="Calibri" w:cs="Times New Roman"/>
                <w:szCs w:val="24"/>
              </w:rPr>
              <w:t>4.1 Posílení komunitně vedeného místního rozvoje za účelem zvýšení kvality ve venkovských oblastech a aktivizace místního potenciálu</w:t>
            </w:r>
          </w:p>
        </w:tc>
      </w:tr>
      <w:tr w:rsidR="003624D9" w:rsidRPr="003624D9" w:rsidTr="00C35245">
        <w:trPr>
          <w:trHeight w:val="415"/>
        </w:trPr>
        <w:tc>
          <w:tcPr>
            <w:tcW w:w="3941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Typy projektů</w:t>
            </w:r>
          </w:p>
        </w:tc>
        <w:tc>
          <w:tcPr>
            <w:tcW w:w="10235" w:type="dxa"/>
            <w:vAlign w:val="center"/>
          </w:tcPr>
          <w:p w:rsidR="003624D9" w:rsidRPr="003624D9" w:rsidRDefault="003624D9" w:rsidP="003624D9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Popis opatření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: Klíčové dovednosti jsou nezbytné pro přípravu žáků na další vzdělávání, práci a život ve společnosti. Toto opatření podporuje rozvoj komunikace v cizích jazycích, schopnosti práce s digitálními technologiemi, rozvoj dovedností v oblasti technických a řemeslných oborů, přírodních věd. Součástí zkvalitnění výuky na základních školách je posílení bezbariérovosti škol a začlenění žáků bez ohledu na jejich individuální vzdělávací potřeby. Navrhované opatření navazuje na další opatření v prioritní oblasti Podnikání a zaměstnanost, zejména opatření 3.1.3: Podpora technických oborů.</w:t>
            </w:r>
          </w:p>
          <w:p w:rsidR="003624D9" w:rsidRPr="003624D9" w:rsidRDefault="003624D9" w:rsidP="003624D9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lastRenderedPageBreak/>
              <w:t>Cílem opatření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 je posílení kvality výuky na základních školách v území, dostupnější pro žáky s ohledem na jejich speciální vzdělávací potřeby.</w:t>
            </w:r>
          </w:p>
          <w:p w:rsidR="003624D9" w:rsidRPr="003624D9" w:rsidRDefault="003624D9" w:rsidP="003624D9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>Aktivity k naplnění opatření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: </w:t>
            </w:r>
          </w:p>
          <w:p w:rsidR="003624D9" w:rsidRPr="003624D9" w:rsidRDefault="003624D9" w:rsidP="003624D9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stavební úpravy ZŠ za účelem zřízení odborných učeben v příměstské oblasti území MAS Slavkovské bojiště (bez SVL) a dalších prostor (v SVL ORP Bučovice) s ohledem na růst populace;</w:t>
            </w:r>
          </w:p>
          <w:p w:rsidR="003624D9" w:rsidRPr="003624D9" w:rsidRDefault="003624D9" w:rsidP="003624D9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vybavení odborných učeben v klíčových kompetencích: cizí jazyky, technické a řemeslné obory, přírodní vědy, digitální technologie;</w:t>
            </w:r>
          </w:p>
          <w:p w:rsidR="003624D9" w:rsidRPr="003624D9" w:rsidRDefault="003624D9" w:rsidP="003624D9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stavební úpravy pro bezbariérový přístup do ZŠ (výtah);</w:t>
            </w:r>
          </w:p>
          <w:p w:rsidR="003624D9" w:rsidRPr="003624D9" w:rsidRDefault="003624D9" w:rsidP="003624D9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podpora začlenění dětí se speciálními vzdělávacími potřebami prostřednictvím pořízení kompenzačních pomůcek;</w:t>
            </w:r>
          </w:p>
          <w:p w:rsidR="003624D9" w:rsidRPr="003624D9" w:rsidRDefault="003624D9" w:rsidP="003624D9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úprava zeleně v okolí škol.</w:t>
            </w:r>
          </w:p>
        </w:tc>
      </w:tr>
      <w:tr w:rsidR="003624D9" w:rsidRPr="003624D9" w:rsidTr="00C35245">
        <w:trPr>
          <w:trHeight w:val="415"/>
        </w:trPr>
        <w:tc>
          <w:tcPr>
            <w:tcW w:w="3941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lastRenderedPageBreak/>
              <w:t>Definice příjemce dotace</w:t>
            </w:r>
          </w:p>
        </w:tc>
        <w:tc>
          <w:tcPr>
            <w:tcW w:w="10235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školy a školská zařízení v oblasti základního vzdělávání; další subjekty podílející se na realizaci vzdělávacích aktivit; organizace zřizované nebo zakládané kraji; obce; organizace zřizované nebo zakládané obcemi; nestátní neziskové organizace; církve; církevní organizace; organizační složky státu; příspěvkové organizace organizačních složek státu</w:t>
            </w:r>
          </w:p>
        </w:tc>
      </w:tr>
      <w:tr w:rsidR="003624D9" w:rsidRPr="003624D9" w:rsidTr="00C35245">
        <w:trPr>
          <w:trHeight w:val="415"/>
        </w:trPr>
        <w:tc>
          <w:tcPr>
            <w:tcW w:w="3941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Min. a max. výše podpory</w:t>
            </w:r>
          </w:p>
        </w:tc>
        <w:tc>
          <w:tcPr>
            <w:tcW w:w="10235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MAS předpokládá stanovení limitů a bude o nich informovat v konkrétní výzvě.</w:t>
            </w:r>
          </w:p>
        </w:tc>
      </w:tr>
      <w:tr w:rsidR="003624D9" w:rsidRPr="003624D9" w:rsidTr="00C35245">
        <w:trPr>
          <w:trHeight w:val="415"/>
        </w:trPr>
        <w:tc>
          <w:tcPr>
            <w:tcW w:w="3941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Principy preferenčních kritérií</w:t>
            </w:r>
          </w:p>
        </w:tc>
        <w:tc>
          <w:tcPr>
            <w:tcW w:w="10235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 xml:space="preserve">Preferenční kritéria budou stanovena v konkrétní výzvě MAS. </w:t>
            </w:r>
          </w:p>
        </w:tc>
      </w:tr>
    </w:tbl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3624D9">
        <w:rPr>
          <w:rFonts w:ascii="Calibri" w:eastAsia="Calibri" w:hAnsi="Calibri" w:cs="Times New Roman"/>
          <w:b/>
        </w:rPr>
        <w:t xml:space="preserve">Indikátory </w:t>
      </w:r>
    </w:p>
    <w:tbl>
      <w:tblPr>
        <w:tblW w:w="14034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2"/>
        <w:gridCol w:w="10272"/>
      </w:tblGrid>
      <w:tr w:rsidR="003624D9" w:rsidRPr="003624D9" w:rsidTr="00C35245">
        <w:trPr>
          <w:trHeight w:val="335"/>
          <w:tblHeader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624D9">
              <w:rPr>
                <w:rFonts w:ascii="Calibri" w:eastAsia="Times New Roman" w:hAnsi="Calibri" w:cs="Arial"/>
                <w:lang w:eastAsia="cs-CZ"/>
              </w:rPr>
              <w:t>ID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624D9">
              <w:rPr>
                <w:rFonts w:ascii="Calibri" w:eastAsia="Times New Roman" w:hAnsi="Calibri" w:cs="Arial"/>
                <w:lang w:eastAsia="cs-CZ"/>
              </w:rPr>
              <w:t>Ukazatel</w:t>
            </w:r>
          </w:p>
        </w:tc>
      </w:tr>
      <w:tr w:rsidR="003624D9" w:rsidRPr="003624D9" w:rsidTr="00C35245">
        <w:trPr>
          <w:trHeight w:val="2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5 00 00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lang w:eastAsia="cs-CZ"/>
              </w:rPr>
              <w:t>Počet podpořených vzdělávacích zařízení</w:t>
            </w:r>
          </w:p>
        </w:tc>
      </w:tr>
      <w:tr w:rsidR="003624D9" w:rsidRPr="003624D9" w:rsidTr="00C35245">
        <w:trPr>
          <w:trHeight w:val="2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5 00 30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Podíl osob předčasně opouštějících vzdělávací systém</w:t>
            </w:r>
          </w:p>
        </w:tc>
      </w:tr>
      <w:tr w:rsidR="003624D9" w:rsidRPr="003624D9" w:rsidTr="00C35245">
        <w:trPr>
          <w:trHeight w:val="2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5 00 01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Kapacita podporovaných zařízení péče o děti nebo vzdělávacích zařízení</w:t>
            </w:r>
          </w:p>
        </w:tc>
      </w:tr>
    </w:tbl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3624D9">
        <w:rPr>
          <w:rFonts w:ascii="Calibri" w:eastAsia="Calibri" w:hAnsi="Calibri" w:cs="Times New Roman"/>
          <w:b/>
        </w:rPr>
        <w:tab/>
      </w: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3624D9">
        <w:rPr>
          <w:rFonts w:ascii="Calibri" w:eastAsia="Calibri" w:hAnsi="Calibri" w:cs="Times New Roman"/>
          <w:b/>
        </w:rPr>
        <w:tab/>
      </w:r>
      <w:r w:rsidRPr="003624D9">
        <w:rPr>
          <w:rFonts w:ascii="Calibri" w:eastAsia="Calibri" w:hAnsi="Calibri" w:cs="Times New Roman"/>
          <w:b/>
        </w:rPr>
        <w:tab/>
      </w:r>
    </w:p>
    <w:tbl>
      <w:tblPr>
        <w:tblW w:w="14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10234"/>
      </w:tblGrid>
      <w:tr w:rsidR="003624D9" w:rsidRPr="003624D9" w:rsidTr="008473F1">
        <w:trPr>
          <w:trHeight w:val="415"/>
        </w:trPr>
        <w:tc>
          <w:tcPr>
            <w:tcW w:w="3800" w:type="dxa"/>
            <w:shd w:val="clear" w:color="auto" w:fill="D6E3BC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Specifický cíl SCLLD</w:t>
            </w:r>
          </w:p>
        </w:tc>
        <w:tc>
          <w:tcPr>
            <w:tcW w:w="10234" w:type="dxa"/>
            <w:shd w:val="clear" w:color="auto" w:fill="D6E3BC"/>
            <w:vAlign w:val="center"/>
          </w:tcPr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i/>
                <w:szCs w:val="24"/>
                <w:lang w:eastAsia="cs-CZ"/>
              </w:rPr>
              <w:t xml:space="preserve"> </w:t>
            </w: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>1.1 Posílit dostupnost a kvalitu základních, mateřských škol a zájmového vzdělávání</w:t>
            </w:r>
          </w:p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(</w:t>
            </w:r>
            <w:r w:rsidRPr="003624D9">
              <w:rPr>
                <w:rFonts w:ascii="Calibri" w:eastAsia="Calibri" w:hAnsi="Calibri" w:cs="Times New Roman"/>
                <w:i/>
                <w:szCs w:val="24"/>
              </w:rPr>
              <w:t>Opatření SCLLD 1.1.3 Podpora zájmového vzdělávání)</w:t>
            </w:r>
          </w:p>
        </w:tc>
      </w:tr>
      <w:tr w:rsidR="003624D9" w:rsidRPr="003624D9" w:rsidTr="008473F1">
        <w:trPr>
          <w:trHeight w:val="415"/>
        </w:trPr>
        <w:tc>
          <w:tcPr>
            <w:tcW w:w="3800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lastRenderedPageBreak/>
              <w:t>Název opatření</w:t>
            </w:r>
          </w:p>
        </w:tc>
        <w:tc>
          <w:tcPr>
            <w:tcW w:w="10234" w:type="dxa"/>
            <w:vAlign w:val="center"/>
          </w:tcPr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 IROP 8 Zájmové vzdělávání </w:t>
            </w:r>
          </w:p>
        </w:tc>
      </w:tr>
      <w:tr w:rsidR="003624D9" w:rsidRPr="003624D9" w:rsidTr="008473F1">
        <w:trPr>
          <w:trHeight w:val="415"/>
        </w:trPr>
        <w:tc>
          <w:tcPr>
            <w:tcW w:w="3800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Vazba na specifický cíl IROP</w:t>
            </w:r>
          </w:p>
        </w:tc>
        <w:tc>
          <w:tcPr>
            <w:tcW w:w="10234" w:type="dxa"/>
            <w:vAlign w:val="center"/>
          </w:tcPr>
          <w:p w:rsidR="003624D9" w:rsidRPr="003624D9" w:rsidRDefault="003624D9" w:rsidP="003624D9">
            <w:pPr>
              <w:spacing w:after="4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2.4</w:t>
            </w:r>
            <w:r w:rsidRPr="003624D9"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Zvýšení kvality a dostupnosti infrastruktury pro vzdělávání a celoživotní učení, </w:t>
            </w:r>
            <w:r w:rsidRPr="003624D9">
              <w:rPr>
                <w:rFonts w:ascii="Calibri" w:eastAsia="Calibri" w:hAnsi="Calibri" w:cs="Times New Roman"/>
                <w:szCs w:val="24"/>
              </w:rPr>
              <w:t>4.1 Posílení komunitně vedeného místního rozvoje za účelem zvýšení kvality ve venkovských oblastech a aktivizace místního potenciálu</w:t>
            </w:r>
          </w:p>
        </w:tc>
      </w:tr>
      <w:tr w:rsidR="003624D9" w:rsidRPr="003624D9" w:rsidTr="008473F1">
        <w:trPr>
          <w:trHeight w:val="415"/>
        </w:trPr>
        <w:tc>
          <w:tcPr>
            <w:tcW w:w="3800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Typy projektů</w:t>
            </w:r>
          </w:p>
        </w:tc>
        <w:tc>
          <w:tcPr>
            <w:tcW w:w="10234" w:type="dxa"/>
            <w:vAlign w:val="center"/>
          </w:tcPr>
          <w:p w:rsidR="003624D9" w:rsidRPr="003624D9" w:rsidRDefault="003624D9" w:rsidP="003624D9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Popis opatření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: Klíčové dovednosti jsou nezbytné pro přípravu žáků na další vzdělávání, práci a život ve společnosti. Toto opatření podporuje rozvoj komunikace v cizích jazycích, schopnosti práce s digitálními technologiemi, rozvoj dovedností v oblasti technických a řemeslných oborů, přírodních věd. Navrhované opatření cílí na zájmové vzdělávání v klíčových kompetencích, které absolventům zlepší postavení na trhu práce. Toto opatření navazuje na opatření v prioritní oblasti Podnikání a zaměstnanost, zejména opatření 3.2.1: Podpora zaměstnanosti sociálně vyloučených osob.</w:t>
            </w:r>
          </w:p>
          <w:p w:rsidR="003624D9" w:rsidRPr="003624D9" w:rsidRDefault="003624D9" w:rsidP="003624D9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>Cílem opatření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 je podpora zájmového vzdělávání ve vazbě na lepší postavení na trhu práce. </w:t>
            </w:r>
          </w:p>
          <w:p w:rsidR="003624D9" w:rsidRPr="003624D9" w:rsidRDefault="003624D9" w:rsidP="003624D9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>Aktivity k naplnění opatření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:</w:t>
            </w:r>
          </w:p>
          <w:p w:rsidR="003624D9" w:rsidRPr="003624D9" w:rsidRDefault="003624D9" w:rsidP="003624D9">
            <w:pPr>
              <w:numPr>
                <w:ilvl w:val="0"/>
                <w:numId w:val="3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stavební úpravy, pořízení vybavení pro vybudování a zkvalitnění kapacity pro účely vzdělávání v oblastech komunikace v cizích jazycích, v oblasti technických a řemeslných oborů, přírodních věd, ve schopnosti práce s digitálními technologiemi;</w:t>
            </w:r>
          </w:p>
          <w:p w:rsidR="003624D9" w:rsidRPr="003624D9" w:rsidRDefault="003624D9" w:rsidP="003624D9">
            <w:pPr>
              <w:numPr>
                <w:ilvl w:val="0"/>
                <w:numId w:val="3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stavební úpravy pro bezbariérový přístup; </w:t>
            </w:r>
          </w:p>
          <w:p w:rsidR="003624D9" w:rsidRPr="003624D9" w:rsidRDefault="003624D9" w:rsidP="003624D9">
            <w:pPr>
              <w:numPr>
                <w:ilvl w:val="0"/>
                <w:numId w:val="3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úprava zeleně v okolí škol.</w:t>
            </w:r>
          </w:p>
        </w:tc>
      </w:tr>
      <w:tr w:rsidR="003624D9" w:rsidRPr="003624D9" w:rsidTr="008473F1">
        <w:trPr>
          <w:trHeight w:val="415"/>
        </w:trPr>
        <w:tc>
          <w:tcPr>
            <w:tcW w:w="3800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Definice příjemce dotace</w:t>
            </w:r>
          </w:p>
        </w:tc>
        <w:tc>
          <w:tcPr>
            <w:tcW w:w="10234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subjekty podílející se na realizaci vzdělávacích aktivit; organizace zřizované nebo zakládané kraji; obce; organizace zřizované nebo zakládané obcemi; nestátní neziskové organizace; církve; církevní organizace; organizační složky státu; příspěvkové organizace organizačních složek státu</w:t>
            </w:r>
          </w:p>
        </w:tc>
      </w:tr>
      <w:tr w:rsidR="003624D9" w:rsidRPr="003624D9" w:rsidTr="008473F1">
        <w:trPr>
          <w:trHeight w:val="415"/>
        </w:trPr>
        <w:tc>
          <w:tcPr>
            <w:tcW w:w="3800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Min. a max. výše podpory</w:t>
            </w:r>
          </w:p>
        </w:tc>
        <w:tc>
          <w:tcPr>
            <w:tcW w:w="10234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MAS předpokládá stanovení limitů a bude o nich informovat v konkrétní výzvě.</w:t>
            </w:r>
          </w:p>
        </w:tc>
      </w:tr>
      <w:tr w:rsidR="003624D9" w:rsidRPr="003624D9" w:rsidTr="008473F1">
        <w:trPr>
          <w:trHeight w:val="415"/>
        </w:trPr>
        <w:tc>
          <w:tcPr>
            <w:tcW w:w="3800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Principy preferenčních kritérií</w:t>
            </w:r>
          </w:p>
        </w:tc>
        <w:tc>
          <w:tcPr>
            <w:tcW w:w="10234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Preferenční kritéria budou stanovena v konkrétní výzvě MAS.</w:t>
            </w:r>
          </w:p>
        </w:tc>
      </w:tr>
    </w:tbl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473F1" w:rsidRDefault="008473F1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473F1" w:rsidRDefault="008473F1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473F1" w:rsidRPr="003624D9" w:rsidRDefault="008473F1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3624D9">
        <w:rPr>
          <w:rFonts w:ascii="Calibri" w:eastAsia="Calibri" w:hAnsi="Calibri" w:cs="Times New Roman"/>
          <w:b/>
        </w:rPr>
        <w:t xml:space="preserve">Indikátory </w:t>
      </w:r>
      <w:r w:rsidRPr="003624D9">
        <w:rPr>
          <w:rFonts w:ascii="Calibri" w:eastAsia="Calibri" w:hAnsi="Calibri" w:cs="Times New Roman"/>
          <w:b/>
        </w:rPr>
        <w:tab/>
      </w:r>
    </w:p>
    <w:tbl>
      <w:tblPr>
        <w:tblW w:w="1355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8"/>
        <w:gridCol w:w="10272"/>
      </w:tblGrid>
      <w:tr w:rsidR="003624D9" w:rsidRPr="003624D9" w:rsidTr="008473F1">
        <w:trPr>
          <w:trHeight w:val="335"/>
          <w:tblHeader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624D9">
              <w:rPr>
                <w:rFonts w:ascii="Calibri" w:eastAsia="Times New Roman" w:hAnsi="Calibri" w:cs="Arial"/>
                <w:lang w:eastAsia="cs-CZ"/>
              </w:rPr>
              <w:lastRenderedPageBreak/>
              <w:t>ID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624D9">
              <w:rPr>
                <w:rFonts w:ascii="Calibri" w:eastAsia="Times New Roman" w:hAnsi="Calibri" w:cs="Arial"/>
                <w:lang w:eastAsia="cs-CZ"/>
              </w:rPr>
              <w:t>Ukazatel</w:t>
            </w:r>
          </w:p>
        </w:tc>
      </w:tr>
      <w:tr w:rsidR="003624D9" w:rsidRPr="003624D9" w:rsidTr="008473F1">
        <w:trPr>
          <w:trHeight w:val="2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5 00 00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lang w:eastAsia="cs-CZ"/>
              </w:rPr>
              <w:t>Počet podpořených vzdělávacích zařízení</w:t>
            </w:r>
          </w:p>
        </w:tc>
      </w:tr>
      <w:tr w:rsidR="003624D9" w:rsidRPr="003624D9" w:rsidTr="008473F1">
        <w:trPr>
          <w:trHeight w:val="2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5 00 30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Podíl osob předčasně opouštějících vzdělávací systém</w:t>
            </w:r>
          </w:p>
        </w:tc>
      </w:tr>
      <w:tr w:rsidR="003624D9" w:rsidRPr="003624D9" w:rsidTr="008473F1">
        <w:trPr>
          <w:trHeight w:val="2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5 00 01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Kapacita podporovaných zařízení péče o děti nebo vzdělávacích zařízení</w:t>
            </w:r>
          </w:p>
        </w:tc>
      </w:tr>
    </w:tbl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3624D9">
        <w:rPr>
          <w:rFonts w:ascii="Calibri" w:eastAsia="Calibri" w:hAnsi="Calibri" w:cs="Times New Roman"/>
          <w:b/>
        </w:rPr>
        <w:tab/>
      </w:r>
      <w:r w:rsidRPr="003624D9">
        <w:rPr>
          <w:rFonts w:ascii="Calibri" w:eastAsia="Calibri" w:hAnsi="Calibri" w:cs="Times New Roman"/>
          <w:b/>
        </w:rPr>
        <w:tab/>
      </w:r>
      <w:r w:rsidRPr="003624D9">
        <w:rPr>
          <w:rFonts w:ascii="Calibri" w:eastAsia="Calibri" w:hAnsi="Calibri" w:cs="Times New Roman"/>
          <w:b/>
        </w:rPr>
        <w:tab/>
      </w:r>
      <w:r w:rsidRPr="003624D9">
        <w:rPr>
          <w:rFonts w:ascii="Calibri" w:eastAsia="Calibri" w:hAnsi="Calibri" w:cs="Times New Roman"/>
          <w:b/>
        </w:rPr>
        <w:tab/>
      </w:r>
      <w:r w:rsidRPr="003624D9">
        <w:rPr>
          <w:rFonts w:ascii="Calibri" w:eastAsia="Calibri" w:hAnsi="Calibri" w:cs="Times New Roman"/>
          <w:b/>
        </w:rPr>
        <w:tab/>
      </w:r>
      <w:r w:rsidRPr="003624D9">
        <w:rPr>
          <w:rFonts w:ascii="Calibri" w:eastAsia="Calibri" w:hAnsi="Calibri" w:cs="Times New Roman"/>
          <w:b/>
        </w:rPr>
        <w:tab/>
      </w:r>
      <w:r w:rsidRPr="003624D9">
        <w:rPr>
          <w:rFonts w:ascii="Calibri" w:eastAsia="Calibri" w:hAnsi="Calibri" w:cs="Times New Roman"/>
          <w:b/>
        </w:rPr>
        <w:tab/>
      </w:r>
      <w:r w:rsidRPr="003624D9">
        <w:rPr>
          <w:rFonts w:ascii="Calibri" w:eastAsia="Calibri" w:hAnsi="Calibri" w:cs="Times New Roman"/>
          <w:b/>
        </w:rPr>
        <w:tab/>
      </w:r>
      <w:r w:rsidRPr="003624D9">
        <w:rPr>
          <w:rFonts w:ascii="Calibri" w:eastAsia="Calibri" w:hAnsi="Calibri" w:cs="Times New Roman"/>
          <w:b/>
        </w:rPr>
        <w:tab/>
      </w:r>
      <w:r w:rsidRPr="003624D9">
        <w:rPr>
          <w:rFonts w:ascii="Calibri" w:eastAsia="Calibri" w:hAnsi="Calibri" w:cs="Times New Roman"/>
          <w:b/>
        </w:rPr>
        <w:tab/>
      </w:r>
      <w:r w:rsidRPr="003624D9">
        <w:rPr>
          <w:rFonts w:ascii="Calibri" w:eastAsia="Calibri" w:hAnsi="Calibri" w:cs="Times New Roman"/>
          <w:b/>
        </w:rPr>
        <w:tab/>
      </w: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0376"/>
      </w:tblGrid>
      <w:tr w:rsidR="003624D9" w:rsidRPr="003624D9" w:rsidTr="008473F1">
        <w:trPr>
          <w:trHeight w:val="415"/>
        </w:trPr>
        <w:tc>
          <w:tcPr>
            <w:tcW w:w="3119" w:type="dxa"/>
            <w:shd w:val="clear" w:color="auto" w:fill="D6E3BC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Specifický cíl SCLLD</w:t>
            </w:r>
          </w:p>
        </w:tc>
        <w:tc>
          <w:tcPr>
            <w:tcW w:w="10376" w:type="dxa"/>
            <w:shd w:val="clear" w:color="auto" w:fill="D6E3BC"/>
            <w:vAlign w:val="center"/>
          </w:tcPr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 xml:space="preserve"> 2.4 Obnovit a zachovat kulturní a jiné památky v regionu</w:t>
            </w:r>
          </w:p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(</w:t>
            </w:r>
            <w:r w:rsidRPr="003624D9">
              <w:rPr>
                <w:rFonts w:ascii="Calibri" w:eastAsia="Calibri" w:hAnsi="Calibri" w:cs="Times New Roman"/>
                <w:i/>
                <w:szCs w:val="24"/>
              </w:rPr>
              <w:t>Opatření SCLLD 2.4.1 Opravy národních kulturních památek a jejich okolí)</w:t>
            </w:r>
          </w:p>
        </w:tc>
      </w:tr>
      <w:tr w:rsidR="003624D9" w:rsidRPr="003624D9" w:rsidTr="008473F1">
        <w:trPr>
          <w:trHeight w:val="415"/>
        </w:trPr>
        <w:tc>
          <w:tcPr>
            <w:tcW w:w="3119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Název opatření</w:t>
            </w:r>
          </w:p>
        </w:tc>
        <w:tc>
          <w:tcPr>
            <w:tcW w:w="10376" w:type="dxa"/>
            <w:vAlign w:val="center"/>
          </w:tcPr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 IROP 9 </w:t>
            </w:r>
            <w:r w:rsidRPr="003624D9">
              <w:rPr>
                <w:rFonts w:ascii="Calibri" w:eastAsia="Calibri" w:hAnsi="Calibri" w:cs="Times New Roman"/>
                <w:szCs w:val="24"/>
              </w:rPr>
              <w:t xml:space="preserve">Kulturní památky </w:t>
            </w:r>
          </w:p>
        </w:tc>
      </w:tr>
      <w:tr w:rsidR="003624D9" w:rsidRPr="003624D9" w:rsidTr="008473F1">
        <w:trPr>
          <w:trHeight w:val="415"/>
        </w:trPr>
        <w:tc>
          <w:tcPr>
            <w:tcW w:w="3119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Vazba na specifický cíl IROP</w:t>
            </w:r>
          </w:p>
        </w:tc>
        <w:tc>
          <w:tcPr>
            <w:tcW w:w="10376" w:type="dxa"/>
            <w:vAlign w:val="center"/>
          </w:tcPr>
          <w:p w:rsidR="003624D9" w:rsidRPr="003624D9" w:rsidRDefault="003624D9" w:rsidP="003624D9">
            <w:pPr>
              <w:spacing w:after="40" w:line="240" w:lineRule="auto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3.1</w:t>
            </w:r>
            <w:r w:rsidRPr="003624D9">
              <w:rPr>
                <w:rFonts w:ascii="Calibri" w:eastAsia="Calibri" w:hAnsi="Calibri" w:cs="Times New Roman"/>
                <w:b/>
                <w:szCs w:val="24"/>
              </w:rPr>
              <w:t xml:space="preserve"> </w:t>
            </w:r>
            <w:r w:rsidRPr="003624D9">
              <w:rPr>
                <w:rFonts w:ascii="Calibri" w:eastAsia="Calibri" w:hAnsi="Calibri" w:cs="Times New Roman"/>
                <w:szCs w:val="24"/>
              </w:rPr>
              <w:t>Zefektivnění prezentace, posílení ochrany a rozvoje kulturního a přírodního dědictví, 4.1 Posílení komunitně vedeného místního rozvoje za účelem zvýšení kvality ve venkovských oblastech a aktivizace místního potenciálu</w:t>
            </w:r>
          </w:p>
        </w:tc>
      </w:tr>
      <w:tr w:rsidR="003624D9" w:rsidRPr="003624D9" w:rsidTr="008473F1">
        <w:trPr>
          <w:trHeight w:val="415"/>
        </w:trPr>
        <w:tc>
          <w:tcPr>
            <w:tcW w:w="3119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Typy projektů</w:t>
            </w:r>
          </w:p>
        </w:tc>
        <w:tc>
          <w:tcPr>
            <w:tcW w:w="10376" w:type="dxa"/>
            <w:vAlign w:val="center"/>
          </w:tcPr>
          <w:p w:rsidR="003624D9" w:rsidRPr="003624D9" w:rsidRDefault="003624D9" w:rsidP="003624D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Popis opatření</w:t>
            </w: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 xml:space="preserve">: 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Na území MAS Slavkovské bojiště se nacházejí dvě památky zapsané v Seznamu národních kulturních památek ČR.</w:t>
            </w: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 xml:space="preserve"> 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Zlepšení jejich stavu povede nejen k uchování kulturního dědictví pro další generace, ale i k lepšímu ekonomickému zhodnocení v oblasti cestovního ruchu. Opatření také naplňuje specifický cíl 3.4: Posílit ekonomický význam cestovního ruchu (a rovněž mezinárodní význam s ohledem na Slavkovské bojiště).</w:t>
            </w:r>
          </w:p>
          <w:p w:rsidR="003624D9" w:rsidRPr="003624D9" w:rsidRDefault="003624D9" w:rsidP="003624D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bCs/>
                <w:szCs w:val="24"/>
                <w:lang w:eastAsia="cs-CZ"/>
              </w:rPr>
              <w:t>Cílem opatření</w:t>
            </w:r>
            <w:r w:rsidRPr="003624D9">
              <w:rPr>
                <w:rFonts w:ascii="Calibri" w:eastAsia="Times New Roman" w:hAnsi="Calibri" w:cs="Times New Roman"/>
                <w:bCs/>
                <w:szCs w:val="24"/>
                <w:lang w:eastAsia="cs-CZ"/>
              </w:rPr>
              <w:t xml:space="preserve"> je zlepšení stavu národních kulturních památek a jejich okolí na území MAS Slavkovské bojiště zapsaných v Ústředním seznamu národních kulturních památek ČR.</w:t>
            </w:r>
          </w:p>
          <w:p w:rsidR="003624D9" w:rsidRPr="003624D9" w:rsidRDefault="003624D9" w:rsidP="003624D9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bCs/>
                <w:szCs w:val="24"/>
                <w:lang w:eastAsia="cs-CZ"/>
              </w:rPr>
              <w:t>Podporované aktivity</w:t>
            </w:r>
            <w:r w:rsidRPr="003624D9">
              <w:rPr>
                <w:rFonts w:ascii="Calibri" w:eastAsia="Times New Roman" w:hAnsi="Calibri" w:cs="Times New Roman"/>
                <w:bCs/>
                <w:szCs w:val="24"/>
                <w:lang w:eastAsia="cs-CZ"/>
              </w:rPr>
              <w:t>:</w:t>
            </w:r>
          </w:p>
          <w:p w:rsidR="003624D9" w:rsidRPr="003624D9" w:rsidRDefault="003624D9" w:rsidP="003624D9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Revitalizace souboru vybraných památek;</w:t>
            </w:r>
          </w:p>
          <w:p w:rsidR="003624D9" w:rsidRPr="003624D9" w:rsidRDefault="003624D9" w:rsidP="003624D9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Zajištění vyšší bezpečnosti návštěvníků, odstraňování přístupových bariér;</w:t>
            </w:r>
          </w:p>
          <w:p w:rsidR="003624D9" w:rsidRPr="003624D9" w:rsidRDefault="003624D9" w:rsidP="003624D9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zvýšení ochrany památek a jejího zabezpečení, restaurování památek;</w:t>
            </w:r>
          </w:p>
          <w:p w:rsidR="003624D9" w:rsidRPr="003624D9" w:rsidRDefault="003624D9" w:rsidP="003624D9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rekonstrukce stávajících expozic a depozitářů a budování nových expozic a depozitářů, digitalizace památek a mobiliářů;</w:t>
            </w:r>
          </w:p>
          <w:p w:rsidR="003624D9" w:rsidRPr="003624D9" w:rsidRDefault="003624D9" w:rsidP="003624D9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obnova parků a zahrad, pokud jsou součástí souboru památek;</w:t>
            </w:r>
          </w:p>
          <w:p w:rsidR="003624D9" w:rsidRPr="003624D9" w:rsidRDefault="003624D9" w:rsidP="003624D9">
            <w:pPr>
              <w:numPr>
                <w:ilvl w:val="0"/>
                <w:numId w:val="2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výstavba nezbytných objektů sociálního, technického a technologického zázemí.</w:t>
            </w:r>
          </w:p>
        </w:tc>
      </w:tr>
      <w:tr w:rsidR="003624D9" w:rsidRPr="003624D9" w:rsidTr="008473F1">
        <w:trPr>
          <w:trHeight w:val="415"/>
        </w:trPr>
        <w:tc>
          <w:tcPr>
            <w:tcW w:w="3119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Definice příjemce dotace</w:t>
            </w:r>
          </w:p>
        </w:tc>
        <w:tc>
          <w:tcPr>
            <w:tcW w:w="10376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vlastníci památek nebo subjekty s právem hospodaření (dle zápisu v katastru nemovitostí), kromě fyzických osob nepodnikajících</w:t>
            </w:r>
          </w:p>
        </w:tc>
      </w:tr>
      <w:tr w:rsidR="003624D9" w:rsidRPr="003624D9" w:rsidTr="008473F1">
        <w:trPr>
          <w:trHeight w:val="415"/>
        </w:trPr>
        <w:tc>
          <w:tcPr>
            <w:tcW w:w="3119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lastRenderedPageBreak/>
              <w:t>Min. a max. výše podpory</w:t>
            </w:r>
          </w:p>
        </w:tc>
        <w:tc>
          <w:tcPr>
            <w:tcW w:w="10376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MAS předpokládá stanovení limitů a bude o nich informovat v konkrétní výzvě.</w:t>
            </w:r>
          </w:p>
        </w:tc>
      </w:tr>
      <w:tr w:rsidR="003624D9" w:rsidRPr="003624D9" w:rsidTr="008473F1">
        <w:trPr>
          <w:trHeight w:val="415"/>
        </w:trPr>
        <w:tc>
          <w:tcPr>
            <w:tcW w:w="3119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Principy preferenčních kritérií</w:t>
            </w:r>
          </w:p>
        </w:tc>
        <w:tc>
          <w:tcPr>
            <w:tcW w:w="10376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Preferenční kritéria budou stanovena v konkrétní výzvě MAS.</w:t>
            </w:r>
          </w:p>
        </w:tc>
      </w:tr>
    </w:tbl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3624D9">
        <w:rPr>
          <w:rFonts w:ascii="Calibri" w:eastAsia="Calibri" w:hAnsi="Calibri" w:cs="Times New Roman"/>
          <w:b/>
        </w:rPr>
        <w:t xml:space="preserve">Indikátory </w:t>
      </w:r>
    </w:p>
    <w:tbl>
      <w:tblPr>
        <w:tblW w:w="1355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6"/>
        <w:gridCol w:w="10414"/>
      </w:tblGrid>
      <w:tr w:rsidR="003624D9" w:rsidRPr="003624D9" w:rsidTr="008473F1">
        <w:trPr>
          <w:trHeight w:val="335"/>
          <w:tblHeader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624D9">
              <w:rPr>
                <w:rFonts w:ascii="Calibri" w:eastAsia="Times New Roman" w:hAnsi="Calibri" w:cs="Arial"/>
                <w:lang w:eastAsia="cs-CZ"/>
              </w:rPr>
              <w:t>ID</w:t>
            </w:r>
          </w:p>
        </w:tc>
        <w:tc>
          <w:tcPr>
            <w:tcW w:w="10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624D9">
              <w:rPr>
                <w:rFonts w:ascii="Calibri" w:eastAsia="Times New Roman" w:hAnsi="Calibri" w:cs="Arial"/>
                <w:lang w:eastAsia="cs-CZ"/>
              </w:rPr>
              <w:t>Ukazatel</w:t>
            </w:r>
          </w:p>
        </w:tc>
      </w:tr>
      <w:tr w:rsidR="003624D9" w:rsidRPr="003624D9" w:rsidTr="008473F1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9 05 01</w:t>
            </w:r>
          </w:p>
        </w:tc>
        <w:tc>
          <w:tcPr>
            <w:tcW w:w="10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lang w:eastAsia="cs-CZ"/>
              </w:rPr>
              <w:t>Počet revitalizovaných památkových objektů</w:t>
            </w:r>
          </w:p>
        </w:tc>
      </w:tr>
      <w:tr w:rsidR="003624D9" w:rsidRPr="003624D9" w:rsidTr="008473F1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9 10 10</w:t>
            </w:r>
          </w:p>
        </w:tc>
        <w:tc>
          <w:tcPr>
            <w:tcW w:w="10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Počet návštěv kulturních památek a paměťových institucí zpřístupněných za vstupné</w:t>
            </w:r>
          </w:p>
        </w:tc>
      </w:tr>
      <w:tr w:rsidR="003624D9" w:rsidRPr="003624D9" w:rsidTr="008473F1">
        <w:trPr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9 10 05</w:t>
            </w:r>
          </w:p>
        </w:tc>
        <w:tc>
          <w:tcPr>
            <w:tcW w:w="10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Zvýšení očekávaného počtu návštěv podporovaných kulturních a přírodních památek a atrakcí</w:t>
            </w:r>
          </w:p>
        </w:tc>
      </w:tr>
    </w:tbl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13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0802"/>
      </w:tblGrid>
      <w:tr w:rsidR="003624D9" w:rsidRPr="003624D9" w:rsidTr="008473F1">
        <w:trPr>
          <w:trHeight w:val="415"/>
        </w:trPr>
        <w:tc>
          <w:tcPr>
            <w:tcW w:w="2835" w:type="dxa"/>
            <w:shd w:val="clear" w:color="auto" w:fill="D6E3BC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Specifický cíl CLLD</w:t>
            </w:r>
          </w:p>
        </w:tc>
        <w:tc>
          <w:tcPr>
            <w:tcW w:w="10802" w:type="dxa"/>
            <w:shd w:val="clear" w:color="auto" w:fill="D6E3BC"/>
            <w:vAlign w:val="center"/>
          </w:tcPr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i/>
                <w:szCs w:val="24"/>
                <w:lang w:eastAsia="cs-CZ"/>
              </w:rPr>
              <w:t xml:space="preserve"> </w:t>
            </w: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>6.1 Posílit strategické a územní plánování a zlepšit tak koordinaci rozvojových činností v území a vytvořit předpoklady pro udržitelné využívání území</w:t>
            </w:r>
          </w:p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Calibri" w:hAnsi="Calibri" w:cs="Times New Roman"/>
                <w:b/>
                <w:i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(</w:t>
            </w:r>
            <w:r w:rsidRPr="003624D9">
              <w:rPr>
                <w:rFonts w:ascii="Calibri" w:eastAsia="Calibri" w:hAnsi="Calibri" w:cs="Times New Roman"/>
                <w:i/>
                <w:szCs w:val="24"/>
              </w:rPr>
              <w:t>Opatření SCLLD 6.1.1 Tvorba územních studií)</w:t>
            </w:r>
          </w:p>
        </w:tc>
      </w:tr>
      <w:tr w:rsidR="003624D9" w:rsidRPr="003624D9" w:rsidTr="008473F1">
        <w:trPr>
          <w:trHeight w:val="415"/>
        </w:trPr>
        <w:tc>
          <w:tcPr>
            <w:tcW w:w="2835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Název opatření</w:t>
            </w:r>
          </w:p>
        </w:tc>
        <w:tc>
          <w:tcPr>
            <w:tcW w:w="10802" w:type="dxa"/>
            <w:vAlign w:val="center"/>
          </w:tcPr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 xml:space="preserve">IROP 10 Územní studie </w:t>
            </w:r>
          </w:p>
        </w:tc>
      </w:tr>
      <w:tr w:rsidR="003624D9" w:rsidRPr="003624D9" w:rsidTr="008473F1">
        <w:trPr>
          <w:trHeight w:val="415"/>
        </w:trPr>
        <w:tc>
          <w:tcPr>
            <w:tcW w:w="2835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Vazba na specifický cíl IROP</w:t>
            </w:r>
          </w:p>
        </w:tc>
        <w:tc>
          <w:tcPr>
            <w:tcW w:w="10802" w:type="dxa"/>
            <w:vAlign w:val="center"/>
          </w:tcPr>
          <w:p w:rsidR="003624D9" w:rsidRPr="003624D9" w:rsidRDefault="003624D9" w:rsidP="003624D9">
            <w:pPr>
              <w:keepNext/>
              <w:spacing w:after="4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3.3 Podpora pořizování a uplatňování dokumentů územního rozvoje, 4.1 Posílení komunitně vedeného místního rozvoje za účelem zvýšení kvality ve venkovských oblastech a aktivizace místního potenciálu</w:t>
            </w:r>
          </w:p>
        </w:tc>
      </w:tr>
      <w:tr w:rsidR="003624D9" w:rsidRPr="003624D9" w:rsidTr="008473F1">
        <w:trPr>
          <w:trHeight w:val="415"/>
        </w:trPr>
        <w:tc>
          <w:tcPr>
            <w:tcW w:w="2835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Typy projektů</w:t>
            </w:r>
          </w:p>
        </w:tc>
        <w:tc>
          <w:tcPr>
            <w:tcW w:w="10802" w:type="dxa"/>
            <w:vAlign w:val="center"/>
          </w:tcPr>
          <w:p w:rsidR="003624D9" w:rsidRPr="003624D9" w:rsidRDefault="003624D9" w:rsidP="003624D9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Popis opatření</w:t>
            </w: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>: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 Předpokladem úspěšného územního rozvoje jsou jasné a předvídatelné rámce definované v plánovací dokumentaci. Většina obcí na území MAS má zpracován územní plán, značná část z nich však postrádá navazující plány. </w:t>
            </w:r>
          </w:p>
          <w:p w:rsidR="003624D9" w:rsidRPr="003624D9" w:rsidRDefault="003624D9" w:rsidP="003624D9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>Cílem opatření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 xml:space="preserve"> je doplnění chybějících součástí soustavy plánovací dokumentace. </w:t>
            </w:r>
          </w:p>
          <w:p w:rsidR="003624D9" w:rsidRPr="003624D9" w:rsidRDefault="003624D9" w:rsidP="003624D9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b/>
                <w:szCs w:val="24"/>
                <w:lang w:eastAsia="cs-CZ"/>
              </w:rPr>
              <w:t>Podporované aktivity</w:t>
            </w: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:</w:t>
            </w:r>
          </w:p>
          <w:p w:rsidR="003624D9" w:rsidRPr="003624D9" w:rsidRDefault="003624D9" w:rsidP="003624D9">
            <w:pPr>
              <w:numPr>
                <w:ilvl w:val="0"/>
                <w:numId w:val="8"/>
              </w:numPr>
              <w:spacing w:after="12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i/>
                <w:szCs w:val="24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szCs w:val="24"/>
                <w:lang w:eastAsia="cs-CZ"/>
              </w:rPr>
              <w:t>Pořízení územních studií (na řešení krajiny).</w:t>
            </w:r>
          </w:p>
        </w:tc>
      </w:tr>
      <w:tr w:rsidR="003624D9" w:rsidRPr="003624D9" w:rsidTr="008473F1">
        <w:trPr>
          <w:trHeight w:val="415"/>
        </w:trPr>
        <w:tc>
          <w:tcPr>
            <w:tcW w:w="2835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Definice příjemce dotace</w:t>
            </w:r>
          </w:p>
        </w:tc>
        <w:tc>
          <w:tcPr>
            <w:tcW w:w="10802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Obce s rozšířenou působností</w:t>
            </w:r>
          </w:p>
        </w:tc>
      </w:tr>
      <w:tr w:rsidR="003624D9" w:rsidRPr="003624D9" w:rsidTr="008473F1">
        <w:trPr>
          <w:trHeight w:val="415"/>
        </w:trPr>
        <w:tc>
          <w:tcPr>
            <w:tcW w:w="2835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Min. a max. výše podpory</w:t>
            </w:r>
          </w:p>
        </w:tc>
        <w:tc>
          <w:tcPr>
            <w:tcW w:w="10802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MAS předpokládá stanovení limitů a bude o nich informovat v konkrétní výzvě.</w:t>
            </w:r>
          </w:p>
        </w:tc>
      </w:tr>
      <w:tr w:rsidR="003624D9" w:rsidRPr="003624D9" w:rsidTr="008473F1">
        <w:trPr>
          <w:trHeight w:val="415"/>
        </w:trPr>
        <w:tc>
          <w:tcPr>
            <w:tcW w:w="2835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r w:rsidRPr="003624D9">
              <w:rPr>
                <w:rFonts w:ascii="Calibri" w:eastAsia="Calibri" w:hAnsi="Calibri" w:cs="Times New Roman"/>
                <w:b/>
                <w:szCs w:val="24"/>
              </w:rPr>
              <w:t>Principy preferenčních kritérií</w:t>
            </w:r>
          </w:p>
        </w:tc>
        <w:tc>
          <w:tcPr>
            <w:tcW w:w="10802" w:type="dxa"/>
            <w:vAlign w:val="center"/>
          </w:tcPr>
          <w:p w:rsidR="003624D9" w:rsidRPr="003624D9" w:rsidRDefault="003624D9" w:rsidP="003624D9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3624D9">
              <w:rPr>
                <w:rFonts w:ascii="Calibri" w:eastAsia="Calibri" w:hAnsi="Calibri" w:cs="Times New Roman"/>
                <w:szCs w:val="24"/>
              </w:rPr>
              <w:t>Preferenční kritéria budou stanovena v konkrétní výzvě MAS.</w:t>
            </w:r>
          </w:p>
        </w:tc>
      </w:tr>
    </w:tbl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624D9" w:rsidRPr="003624D9" w:rsidRDefault="003624D9" w:rsidP="003624D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3624D9">
        <w:rPr>
          <w:rFonts w:ascii="Calibri" w:eastAsia="Calibri" w:hAnsi="Calibri" w:cs="Times New Roman"/>
          <w:b/>
        </w:rPr>
        <w:t xml:space="preserve">Indikátory </w:t>
      </w:r>
    </w:p>
    <w:tbl>
      <w:tblPr>
        <w:tblW w:w="13692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2"/>
        <w:gridCol w:w="10840"/>
      </w:tblGrid>
      <w:tr w:rsidR="003624D9" w:rsidRPr="003624D9" w:rsidTr="008473F1">
        <w:trPr>
          <w:trHeight w:val="335"/>
          <w:tblHeader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624D9">
              <w:rPr>
                <w:rFonts w:ascii="Calibri" w:eastAsia="Times New Roman" w:hAnsi="Calibri" w:cs="Arial"/>
                <w:lang w:eastAsia="cs-CZ"/>
              </w:rPr>
              <w:t>ID</w:t>
            </w: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Arial"/>
                <w:lang w:eastAsia="cs-CZ"/>
              </w:rPr>
            </w:pPr>
            <w:r w:rsidRPr="003624D9">
              <w:rPr>
                <w:rFonts w:ascii="Calibri" w:eastAsia="Times New Roman" w:hAnsi="Calibri" w:cs="Arial"/>
                <w:lang w:eastAsia="cs-CZ"/>
              </w:rPr>
              <w:t>Ukazatel</w:t>
            </w:r>
          </w:p>
        </w:tc>
      </w:tr>
      <w:tr w:rsidR="003624D9" w:rsidRPr="003624D9" w:rsidTr="008473F1">
        <w:trPr>
          <w:trHeight w:val="2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9 02 03</w:t>
            </w: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624D9">
              <w:rPr>
                <w:rFonts w:ascii="Calibri" w:eastAsia="Times New Roman" w:hAnsi="Calibri" w:cs="Times New Roman"/>
                <w:lang w:eastAsia="cs-CZ"/>
              </w:rPr>
              <w:t xml:space="preserve">Počet územní </w:t>
            </w:r>
            <w:proofErr w:type="gramStart"/>
            <w:r w:rsidRPr="003624D9">
              <w:rPr>
                <w:rFonts w:ascii="Calibri" w:eastAsia="Times New Roman" w:hAnsi="Calibri" w:cs="Times New Roman"/>
                <w:lang w:eastAsia="cs-CZ"/>
              </w:rPr>
              <w:t>studií - krajina</w:t>
            </w:r>
            <w:proofErr w:type="gramEnd"/>
          </w:p>
        </w:tc>
      </w:tr>
      <w:tr w:rsidR="003624D9" w:rsidRPr="003624D9" w:rsidTr="008473F1">
        <w:trPr>
          <w:trHeight w:val="2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9 02 10</w:t>
            </w: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Plocha území pokrytá uzemním plánem, regulačním plánem a územní studií</w:t>
            </w:r>
          </w:p>
        </w:tc>
      </w:tr>
      <w:tr w:rsidR="003624D9" w:rsidRPr="003624D9" w:rsidTr="008473F1">
        <w:trPr>
          <w:trHeight w:val="2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9 02 00</w:t>
            </w: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9" w:rsidRPr="003624D9" w:rsidRDefault="003624D9" w:rsidP="003624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624D9">
              <w:rPr>
                <w:rFonts w:ascii="Calibri" w:eastAsia="Calibri" w:hAnsi="Calibri" w:cs="Times New Roman"/>
              </w:rPr>
              <w:t>Počet územních plánů, regulačních plánů a územních studií</w:t>
            </w:r>
          </w:p>
        </w:tc>
      </w:tr>
    </w:tbl>
    <w:p w:rsidR="004D6EF8" w:rsidRDefault="004D6EF8"/>
    <w:sectPr w:rsidR="004D6EF8" w:rsidSect="003624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30CF" w:rsidRDefault="003930CF">
      <w:pPr>
        <w:spacing w:after="0" w:line="240" w:lineRule="auto"/>
      </w:pPr>
      <w:r>
        <w:separator/>
      </w:r>
    </w:p>
  </w:endnote>
  <w:endnote w:type="continuationSeparator" w:id="0">
    <w:p w:rsidR="003930CF" w:rsidRDefault="0039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30CF" w:rsidRDefault="003930CF">
      <w:pPr>
        <w:spacing w:after="0" w:line="240" w:lineRule="auto"/>
      </w:pPr>
      <w:r>
        <w:separator/>
      </w:r>
    </w:p>
  </w:footnote>
  <w:footnote w:type="continuationSeparator" w:id="0">
    <w:p w:rsidR="003930CF" w:rsidRDefault="00393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A23A3"/>
    <w:multiLevelType w:val="hybridMultilevel"/>
    <w:tmpl w:val="D56892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F6B6F"/>
    <w:multiLevelType w:val="hybridMultilevel"/>
    <w:tmpl w:val="880CCE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8751A"/>
    <w:multiLevelType w:val="hybridMultilevel"/>
    <w:tmpl w:val="84EE04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EB22D7"/>
    <w:multiLevelType w:val="hybridMultilevel"/>
    <w:tmpl w:val="7D0CA7AC"/>
    <w:lvl w:ilvl="0" w:tplc="040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49075BAC"/>
    <w:multiLevelType w:val="hybridMultilevel"/>
    <w:tmpl w:val="41F85C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9D56D6"/>
    <w:multiLevelType w:val="hybridMultilevel"/>
    <w:tmpl w:val="0AF0EC8A"/>
    <w:lvl w:ilvl="0" w:tplc="040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677C5BB6"/>
    <w:multiLevelType w:val="hybridMultilevel"/>
    <w:tmpl w:val="495E19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3938F2"/>
    <w:multiLevelType w:val="hybridMultilevel"/>
    <w:tmpl w:val="BEB22B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851710"/>
    <w:multiLevelType w:val="hybridMultilevel"/>
    <w:tmpl w:val="DF58D3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D9"/>
    <w:rsid w:val="000114E2"/>
    <w:rsid w:val="00020A80"/>
    <w:rsid w:val="00234156"/>
    <w:rsid w:val="002A77D0"/>
    <w:rsid w:val="003624D9"/>
    <w:rsid w:val="00392F41"/>
    <w:rsid w:val="003930CF"/>
    <w:rsid w:val="004D6EF8"/>
    <w:rsid w:val="005B4440"/>
    <w:rsid w:val="00682883"/>
    <w:rsid w:val="00724AB5"/>
    <w:rsid w:val="00745B72"/>
    <w:rsid w:val="008473F1"/>
    <w:rsid w:val="008E3B0B"/>
    <w:rsid w:val="00BF08FD"/>
    <w:rsid w:val="00C35245"/>
    <w:rsid w:val="00D266B2"/>
    <w:rsid w:val="00F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ACC2A-796E-4B36-B821-06C2DD3F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3176</Words>
  <Characters>18745</Characters>
  <Application>Microsoft Office Word</Application>
  <DocSecurity>4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Slav. bojiště</dc:creator>
  <cp:keywords/>
  <dc:description/>
  <cp:lastModifiedBy>Dana Adamcová</cp:lastModifiedBy>
  <cp:revision>2</cp:revision>
  <dcterms:created xsi:type="dcterms:W3CDTF">2020-06-18T12:33:00Z</dcterms:created>
  <dcterms:modified xsi:type="dcterms:W3CDTF">2020-06-18T12:33:00Z</dcterms:modified>
</cp:coreProperties>
</file>